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95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23"/>
        <w:gridCol w:w="221"/>
        <w:gridCol w:w="42"/>
        <w:gridCol w:w="1938"/>
        <w:gridCol w:w="6095"/>
      </w:tblGrid>
      <w:tr w:rsidR="00831736" w:rsidRPr="00EB73AA" w:rsidTr="00952721">
        <w:trPr>
          <w:trHeight w:val="349"/>
        </w:trPr>
        <w:tc>
          <w:tcPr>
            <w:tcW w:w="5000" w:type="pct"/>
            <w:gridSpan w:val="5"/>
            <w:noWrap/>
            <w:vAlign w:val="center"/>
            <w:hideMark/>
          </w:tcPr>
          <w:p w:rsidR="00831736" w:rsidRPr="00CC4B7C" w:rsidRDefault="00831736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B7C">
              <w:rPr>
                <w:rFonts w:ascii="Arial" w:hAnsi="Arial" w:cs="Arial"/>
                <w:b/>
                <w:bCs/>
                <w:sz w:val="20"/>
                <w:szCs w:val="20"/>
              </w:rPr>
              <w:t>PROPOSITO</w:t>
            </w:r>
          </w:p>
        </w:tc>
      </w:tr>
      <w:tr w:rsidR="001961AF" w:rsidRPr="00EB73AA" w:rsidTr="00952721">
        <w:trPr>
          <w:trHeight w:val="108"/>
        </w:trPr>
        <w:tc>
          <w:tcPr>
            <w:tcW w:w="5000" w:type="pct"/>
            <w:gridSpan w:val="5"/>
            <w:noWrap/>
            <w:vAlign w:val="center"/>
          </w:tcPr>
          <w:p w:rsidR="001961AF" w:rsidRPr="00CC4B7C" w:rsidRDefault="001961AF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B7C">
              <w:rPr>
                <w:rFonts w:ascii="Arial" w:hAnsi="Arial" w:cs="Arial"/>
                <w:sz w:val="20"/>
                <w:szCs w:val="20"/>
              </w:rPr>
              <w:t>Establecer la</w:t>
            </w:r>
            <w:r w:rsidR="00B44DA8">
              <w:rPr>
                <w:rFonts w:ascii="Arial" w:hAnsi="Arial" w:cs="Arial"/>
                <w:sz w:val="20"/>
                <w:szCs w:val="20"/>
              </w:rPr>
              <w:t>s actividades para el control, salvaguarda y ejecución de las finanzas de la UNP, asegurando el suministro de los recursos económicos para llevar a cabo el cumplimiento de la misión de la entidad.</w:t>
            </w:r>
          </w:p>
        </w:tc>
      </w:tr>
      <w:tr w:rsidR="00831736" w:rsidRPr="00EB73AA" w:rsidTr="00952721">
        <w:trPr>
          <w:trHeight w:val="299"/>
        </w:trPr>
        <w:tc>
          <w:tcPr>
            <w:tcW w:w="5000" w:type="pct"/>
            <w:gridSpan w:val="5"/>
            <w:noWrap/>
            <w:vAlign w:val="center"/>
            <w:hideMark/>
          </w:tcPr>
          <w:p w:rsidR="00831736" w:rsidRPr="00EB73AA" w:rsidRDefault="00831736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ALCANCE</w:t>
            </w:r>
          </w:p>
        </w:tc>
      </w:tr>
      <w:tr w:rsidR="00831736" w:rsidRPr="00EB73AA" w:rsidTr="00952721">
        <w:trPr>
          <w:trHeight w:val="230"/>
        </w:trPr>
        <w:tc>
          <w:tcPr>
            <w:tcW w:w="5000" w:type="pct"/>
            <w:gridSpan w:val="5"/>
            <w:vMerge w:val="restart"/>
            <w:vAlign w:val="center"/>
            <w:hideMark/>
          </w:tcPr>
          <w:p w:rsidR="00831736" w:rsidRPr="00EB73AA" w:rsidRDefault="00E04DD9" w:rsidP="00D37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44DA8">
              <w:rPr>
                <w:rFonts w:ascii="Arial" w:hAnsi="Arial" w:cs="Arial"/>
                <w:sz w:val="20"/>
                <w:szCs w:val="20"/>
              </w:rPr>
              <w:t xml:space="preserve">nicia cuando el grupo de tesorería recibe las obligaciones y gestiona el pago, </w:t>
            </w:r>
            <w:r w:rsidR="00D377B8">
              <w:rPr>
                <w:rFonts w:ascii="Arial" w:hAnsi="Arial" w:cs="Arial"/>
                <w:sz w:val="20"/>
                <w:szCs w:val="20"/>
              </w:rPr>
              <w:t>finalizando</w:t>
            </w:r>
            <w:r w:rsidR="00B44DA8">
              <w:rPr>
                <w:rFonts w:ascii="Arial" w:hAnsi="Arial" w:cs="Arial"/>
                <w:sz w:val="20"/>
                <w:szCs w:val="20"/>
              </w:rPr>
              <w:t xml:space="preserve"> cuando</w:t>
            </w:r>
            <w:r w:rsidR="00CA6997">
              <w:rPr>
                <w:rFonts w:ascii="Arial" w:hAnsi="Arial" w:cs="Arial"/>
                <w:sz w:val="20"/>
                <w:szCs w:val="20"/>
              </w:rPr>
              <w:t xml:space="preserve"> la orden de pago </w:t>
            </w:r>
            <w:r w:rsidR="00C17D18">
              <w:rPr>
                <w:rFonts w:ascii="Arial" w:hAnsi="Arial" w:cs="Arial"/>
                <w:sz w:val="20"/>
                <w:szCs w:val="20"/>
              </w:rPr>
              <w:t>queda en estado pagada</w:t>
            </w:r>
            <w:r w:rsidR="00E957BD" w:rsidRPr="00CC4B7C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AA0295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1736" w:rsidRPr="00EB73AA" w:rsidTr="00952721">
        <w:trPr>
          <w:trHeight w:val="230"/>
        </w:trPr>
        <w:tc>
          <w:tcPr>
            <w:tcW w:w="5000" w:type="pct"/>
            <w:gridSpan w:val="5"/>
            <w:vMerge/>
            <w:vAlign w:val="center"/>
            <w:hideMark/>
          </w:tcPr>
          <w:p w:rsidR="00831736" w:rsidRPr="00EB73AA" w:rsidRDefault="00831736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84B" w:rsidRPr="00EB73AA" w:rsidTr="00952721">
        <w:trPr>
          <w:trHeight w:val="340"/>
        </w:trPr>
        <w:tc>
          <w:tcPr>
            <w:tcW w:w="5000" w:type="pct"/>
            <w:gridSpan w:val="5"/>
            <w:noWrap/>
            <w:vAlign w:val="center"/>
            <w:hideMark/>
          </w:tcPr>
          <w:p w:rsidR="0028484B" w:rsidRPr="00EB73AA" w:rsidRDefault="0028484B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RESPONSABILIDADES</w:t>
            </w:r>
          </w:p>
        </w:tc>
      </w:tr>
      <w:tr w:rsidR="0014131F" w:rsidRPr="00EB73AA" w:rsidTr="00952721">
        <w:trPr>
          <w:trHeight w:val="234"/>
        </w:trPr>
        <w:tc>
          <w:tcPr>
            <w:tcW w:w="1182" w:type="pct"/>
            <w:gridSpan w:val="3"/>
            <w:noWrap/>
            <w:vAlign w:val="center"/>
            <w:hideMark/>
          </w:tcPr>
          <w:p w:rsidR="0028484B" w:rsidRPr="00EB73AA" w:rsidRDefault="0028484B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818" w:type="pct"/>
            <w:gridSpan w:val="2"/>
            <w:noWrap/>
            <w:vAlign w:val="center"/>
            <w:hideMark/>
          </w:tcPr>
          <w:p w:rsidR="0028484B" w:rsidRPr="00EB73AA" w:rsidRDefault="0028484B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RESPONSABILIDADES</w:t>
            </w:r>
          </w:p>
        </w:tc>
      </w:tr>
      <w:tr w:rsidR="00D377B8" w:rsidRPr="00EB73AA" w:rsidTr="00952721">
        <w:trPr>
          <w:trHeight w:val="280"/>
        </w:trPr>
        <w:tc>
          <w:tcPr>
            <w:tcW w:w="1182" w:type="pct"/>
            <w:gridSpan w:val="3"/>
            <w:vMerge w:val="restart"/>
            <w:shd w:val="clear" w:color="auto" w:fill="auto"/>
            <w:noWrap/>
            <w:vAlign w:val="center"/>
          </w:tcPr>
          <w:p w:rsidR="00E201FE" w:rsidRPr="00EB73AA" w:rsidRDefault="00E201FE" w:rsidP="00E20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  <w:p w:rsidR="00D377B8" w:rsidRPr="00EB73AA" w:rsidRDefault="00D377B8" w:rsidP="00E20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parametrizació</w:t>
            </w:r>
            <w:r w:rsidRPr="00EB73AA">
              <w:rPr>
                <w:rFonts w:ascii="Arial" w:hAnsi="Arial" w:cs="Arial"/>
                <w:sz w:val="20"/>
                <w:szCs w:val="20"/>
              </w:rPr>
              <w:t>n rol de Tesorería.</w:t>
            </w:r>
          </w:p>
        </w:tc>
      </w:tr>
      <w:tr w:rsidR="00D377B8" w:rsidRPr="00EB73AA" w:rsidTr="00952721">
        <w:trPr>
          <w:trHeight w:val="412"/>
        </w:trPr>
        <w:tc>
          <w:tcPr>
            <w:tcW w:w="1182" w:type="pct"/>
            <w:gridSpan w:val="3"/>
            <w:vMerge/>
            <w:shd w:val="clear" w:color="auto" w:fill="auto"/>
            <w:noWrap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Crear cuentas bancarias de tesorería.</w:t>
            </w:r>
          </w:p>
        </w:tc>
      </w:tr>
      <w:tr w:rsidR="00D377B8" w:rsidRPr="00EB73AA" w:rsidTr="00952721">
        <w:trPr>
          <w:trHeight w:val="564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Generar Órdenes de Pago  Presupuestales Sin instrucciones adicionales de pago - Beneficiario final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7B8" w:rsidRPr="00EB73AA" w:rsidTr="00952721">
        <w:trPr>
          <w:trHeight w:val="558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Generar Órdenes de Pago  Presupuestales con instrucciones adicionales de pago (servicios públicos)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7B8" w:rsidRPr="00EB73AA" w:rsidTr="00952721">
        <w:trPr>
          <w:trHeight w:val="552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Generar Ordenes de Pago (traspaso  a pagaduría) presupuestales y  No Presupuestales (Deducciones de  Empleado)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7B8" w:rsidRPr="00EB73AA" w:rsidTr="00952721">
        <w:trPr>
          <w:trHeight w:val="560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Generar Ordenes de Pago   No Presupuestales y ordenes bancarias (culminación traspaso a pagaduría).</w:t>
            </w:r>
          </w:p>
        </w:tc>
      </w:tr>
      <w:tr w:rsidR="00D377B8" w:rsidRPr="00EB73AA" w:rsidTr="00952721">
        <w:trPr>
          <w:trHeight w:val="412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Asegurar que las órdenes de pago con traspaso a pagaduría se tramiten a beneficiario final.</w:t>
            </w:r>
          </w:p>
        </w:tc>
      </w:tr>
      <w:tr w:rsidR="00D377B8" w:rsidRPr="00EB73AA" w:rsidTr="00952721">
        <w:trPr>
          <w:trHeight w:val="410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Pago de embargos</w:t>
            </w:r>
            <w:r>
              <w:rPr>
                <w:rFonts w:ascii="Arial" w:hAnsi="Arial" w:cs="Arial"/>
                <w:sz w:val="20"/>
                <w:szCs w:val="20"/>
              </w:rPr>
              <w:t>, pago de nómina, pago de impuestos, pago de PILA, cuentas de AFC, viáticos funcionarios.</w:t>
            </w:r>
          </w:p>
        </w:tc>
      </w:tr>
      <w:tr w:rsidR="00D377B8" w:rsidRPr="00EB73AA" w:rsidTr="00952721">
        <w:trPr>
          <w:trHeight w:val="416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Cargue de extracto de la</w:t>
            </w:r>
            <w:r>
              <w:rPr>
                <w:rFonts w:ascii="Arial" w:hAnsi="Arial" w:cs="Arial"/>
                <w:sz w:val="20"/>
                <w:szCs w:val="20"/>
              </w:rPr>
              <w:t>s cuentas bancarias de manejo del grupo de Tesorería.</w:t>
            </w:r>
          </w:p>
        </w:tc>
      </w:tr>
      <w:tr w:rsidR="00D377B8" w:rsidRPr="00EB73AA" w:rsidTr="00952721">
        <w:trPr>
          <w:trHeight w:val="422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Reintegros presupuestales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7B8" w:rsidRPr="00EB73AA" w:rsidTr="00952721">
        <w:trPr>
          <w:trHeight w:val="414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6B5557" w:rsidP="00196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D377B8" w:rsidRPr="00EB73AA">
              <w:rPr>
                <w:rFonts w:ascii="Arial" w:hAnsi="Arial" w:cs="Arial"/>
                <w:sz w:val="20"/>
                <w:szCs w:val="20"/>
              </w:rPr>
              <w:t>Informes</w:t>
            </w:r>
            <w:r w:rsidR="00D377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7B8" w:rsidRPr="00EB73AA" w:rsidTr="00952721">
        <w:trPr>
          <w:trHeight w:val="420"/>
        </w:trPr>
        <w:tc>
          <w:tcPr>
            <w:tcW w:w="1182" w:type="pct"/>
            <w:gridSpan w:val="3"/>
            <w:vMerge w:val="restart"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Auxiliar tesorería</w:t>
            </w: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216F10" w:rsidP="00196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el </w:t>
            </w:r>
            <w:r w:rsidR="00D377B8" w:rsidRPr="00EB73AA">
              <w:rPr>
                <w:rFonts w:ascii="Arial" w:hAnsi="Arial" w:cs="Arial"/>
                <w:sz w:val="20"/>
                <w:szCs w:val="20"/>
              </w:rPr>
              <w:t>Archivo</w:t>
            </w:r>
            <w:r w:rsidR="00D377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7B8" w:rsidRPr="00EB73AA" w:rsidTr="00952721">
        <w:trPr>
          <w:trHeight w:val="539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Certificaciones de i</w:t>
            </w:r>
            <w:r>
              <w:rPr>
                <w:rFonts w:ascii="Arial" w:hAnsi="Arial" w:cs="Arial"/>
                <w:sz w:val="20"/>
                <w:szCs w:val="20"/>
              </w:rPr>
              <w:t xml:space="preserve">ngresos y retenciones, certificación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pago</w:t>
            </w:r>
            <w:r>
              <w:rPr>
                <w:rFonts w:ascii="Arial" w:hAnsi="Arial" w:cs="Arial"/>
                <w:sz w:val="20"/>
                <w:szCs w:val="20"/>
              </w:rPr>
              <w:t>s, r</w:t>
            </w:r>
            <w:r w:rsidRPr="00EB73AA">
              <w:rPr>
                <w:rFonts w:ascii="Arial" w:hAnsi="Arial" w:cs="Arial"/>
                <w:sz w:val="20"/>
                <w:szCs w:val="20"/>
              </w:rPr>
              <w:t>ealizar of</w:t>
            </w:r>
            <w:r>
              <w:rPr>
                <w:rFonts w:ascii="Arial" w:hAnsi="Arial" w:cs="Arial"/>
                <w:sz w:val="20"/>
                <w:szCs w:val="20"/>
              </w:rPr>
              <w:t>icios correspondencia interna y externa referente al tema de su competencia.</w:t>
            </w:r>
          </w:p>
        </w:tc>
      </w:tr>
      <w:tr w:rsidR="00D377B8" w:rsidRPr="00EB73AA" w:rsidTr="00952721">
        <w:trPr>
          <w:trHeight w:val="561"/>
        </w:trPr>
        <w:tc>
          <w:tcPr>
            <w:tcW w:w="1182" w:type="pct"/>
            <w:gridSpan w:val="3"/>
            <w:vMerge/>
            <w:shd w:val="clear" w:color="auto" w:fill="auto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pct"/>
            <w:gridSpan w:val="2"/>
            <w:vAlign w:val="center"/>
          </w:tcPr>
          <w:p w:rsidR="00D377B8" w:rsidRPr="00EB73AA" w:rsidRDefault="00D377B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Velar por tener todos los documentos soporte de pagos archivados - Según normatividad vigente.</w:t>
            </w:r>
          </w:p>
        </w:tc>
      </w:tr>
      <w:tr w:rsidR="00C56A95" w:rsidRPr="00EB73AA" w:rsidTr="00952721">
        <w:trPr>
          <w:trHeight w:val="75"/>
        </w:trPr>
        <w:tc>
          <w:tcPr>
            <w:tcW w:w="5000" w:type="pct"/>
            <w:gridSpan w:val="5"/>
            <w:noWrap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DEFINICIONES</w:t>
            </w:r>
          </w:p>
        </w:tc>
      </w:tr>
      <w:tr w:rsidR="00C56A95" w:rsidRPr="00EB73AA" w:rsidTr="00952721">
        <w:trPr>
          <w:trHeight w:val="118"/>
        </w:trPr>
        <w:tc>
          <w:tcPr>
            <w:tcW w:w="1162" w:type="pct"/>
            <w:gridSpan w:val="2"/>
            <w:noWrap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TÉRMINO</w:t>
            </w:r>
          </w:p>
        </w:tc>
        <w:tc>
          <w:tcPr>
            <w:tcW w:w="3838" w:type="pct"/>
            <w:gridSpan w:val="3"/>
            <w:noWrap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DEFINICIÓN</w:t>
            </w:r>
          </w:p>
        </w:tc>
      </w:tr>
      <w:tr w:rsidR="00C56A95" w:rsidRPr="00EB73AA" w:rsidTr="00952721">
        <w:trPr>
          <w:trHeight w:val="1214"/>
        </w:trPr>
        <w:tc>
          <w:tcPr>
            <w:tcW w:w="1162" w:type="pct"/>
            <w:gridSpan w:val="2"/>
            <w:noWrap/>
            <w:vAlign w:val="center"/>
          </w:tcPr>
          <w:p w:rsidR="00C56A95" w:rsidRPr="00EB73AA" w:rsidRDefault="00C56A95" w:rsidP="001961AF">
            <w:pPr>
              <w:pStyle w:val="Textoindependiente"/>
              <w:tabs>
                <w:tab w:val="left" w:pos="142"/>
                <w:tab w:val="left" w:pos="1843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PAC </w:t>
            </w:r>
          </w:p>
        </w:tc>
        <w:tc>
          <w:tcPr>
            <w:tcW w:w="3838" w:type="pct"/>
            <w:gridSpan w:val="3"/>
            <w:vAlign w:val="center"/>
          </w:tcPr>
          <w:p w:rsidR="00C56A95" w:rsidRPr="00EB73AA" w:rsidRDefault="00C56A95" w:rsidP="004963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Cs/>
                <w:sz w:val="20"/>
                <w:szCs w:val="20"/>
              </w:rPr>
              <w:t xml:space="preserve">Programa Anual Mensualizado de Caja : Instrumento mediante el cual se define el monto máximo mensual de fondos disponibles en la Cuenta Única Nacional para efectuar el pago de los compromisos asumidos en desarrollo </w:t>
            </w:r>
            <w:r w:rsidR="00857C6C" w:rsidRPr="00EB73A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B73AA">
              <w:rPr>
                <w:rFonts w:ascii="Arial" w:hAnsi="Arial" w:cs="Arial"/>
                <w:bCs/>
                <w:sz w:val="20"/>
                <w:szCs w:val="20"/>
              </w:rPr>
              <w:t>e las apropiaciones presupuestales incorporadas en el presupuesto y financiadas con recursos de la Nación.</w:t>
            </w:r>
          </w:p>
        </w:tc>
      </w:tr>
      <w:tr w:rsidR="00C56A95" w:rsidRPr="00EB73AA" w:rsidTr="00952721">
        <w:trPr>
          <w:trHeight w:val="977"/>
        </w:trPr>
        <w:tc>
          <w:tcPr>
            <w:tcW w:w="1162" w:type="pct"/>
            <w:gridSpan w:val="2"/>
            <w:noWrap/>
            <w:vAlign w:val="center"/>
          </w:tcPr>
          <w:p w:rsidR="00C56A95" w:rsidRPr="00EB73AA" w:rsidRDefault="00C56A95" w:rsidP="001961AF">
            <w:pPr>
              <w:pStyle w:val="Textoindependiente"/>
              <w:tabs>
                <w:tab w:val="left" w:pos="14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SIIF</w:t>
            </w:r>
            <w:r w:rsidR="00E04DD9">
              <w:rPr>
                <w:rFonts w:ascii="Arial" w:hAnsi="Arial" w:cs="Arial"/>
                <w:sz w:val="20"/>
                <w:szCs w:val="20"/>
              </w:rPr>
              <w:t xml:space="preserve"> Nación</w:t>
            </w:r>
          </w:p>
        </w:tc>
        <w:tc>
          <w:tcPr>
            <w:tcW w:w="3838" w:type="pct"/>
            <w:gridSpan w:val="3"/>
            <w:vAlign w:val="center"/>
          </w:tcPr>
          <w:p w:rsidR="00C56A95" w:rsidRPr="00EB73AA" w:rsidRDefault="00E04DD9" w:rsidP="00E04DD9">
            <w:pPr>
              <w:pStyle w:val="Textoindependiente"/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DD9">
              <w:rPr>
                <w:rFonts w:ascii="Arial" w:hAnsi="Arial" w:cs="Arial"/>
                <w:color w:val="333333"/>
                <w:sz w:val="20"/>
                <w:szCs w:val="20"/>
              </w:rPr>
              <w:t>El Sistema Integrado de Información Financiera - SIIF Nación constituye una iniciativa del Ministerio de Hacienda y Crédito Público que permite a la Nación consolidar la información financiera de las Entidades que conforman el Presupuesto General de la Nación y ejercer el control de la ejecución presupuestal y financiera de las Entidades pertenecientes a la Administración Central Nacional y sus subunidades descentralizada, con el fin de propiciar una mayor eficiencia en el uso de los recursos de la Nación y de brindar información oportuna y confiable.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A95" w:rsidRPr="00EB73AA" w:rsidTr="00952721">
        <w:trPr>
          <w:trHeight w:val="632"/>
        </w:trPr>
        <w:tc>
          <w:tcPr>
            <w:tcW w:w="1162" w:type="pct"/>
            <w:gridSpan w:val="2"/>
            <w:noWrap/>
            <w:vAlign w:val="center"/>
          </w:tcPr>
          <w:p w:rsidR="00C56A95" w:rsidRPr="00EB73AA" w:rsidRDefault="00C56A95" w:rsidP="001961AF">
            <w:pPr>
              <w:pStyle w:val="Textoindependiente"/>
              <w:tabs>
                <w:tab w:val="left" w:pos="14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lastRenderedPageBreak/>
              <w:t>Beneficiario Final</w:t>
            </w:r>
          </w:p>
        </w:tc>
        <w:tc>
          <w:tcPr>
            <w:tcW w:w="3838" w:type="pct"/>
            <w:gridSpan w:val="3"/>
            <w:vAlign w:val="center"/>
          </w:tcPr>
          <w:p w:rsidR="00C56A95" w:rsidRPr="00EB73AA" w:rsidRDefault="00C56A95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Persona Natural o Jurídica a quien se le debe cancelar la obligación adquirida por la UNP.</w:t>
            </w:r>
          </w:p>
        </w:tc>
      </w:tr>
      <w:tr w:rsidR="00CD7BEC" w:rsidRPr="00EB73AA" w:rsidTr="00952721">
        <w:trPr>
          <w:trHeight w:val="568"/>
        </w:trPr>
        <w:tc>
          <w:tcPr>
            <w:tcW w:w="1162" w:type="pct"/>
            <w:gridSpan w:val="2"/>
            <w:noWrap/>
            <w:vAlign w:val="center"/>
          </w:tcPr>
          <w:p w:rsidR="00CD7BEC" w:rsidRPr="00EB73AA" w:rsidRDefault="00CD7BEC" w:rsidP="001961AF">
            <w:pPr>
              <w:pStyle w:val="Textoindependiente"/>
              <w:tabs>
                <w:tab w:val="left" w:pos="14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Registro de cuentas Bancarias</w:t>
            </w:r>
          </w:p>
        </w:tc>
        <w:tc>
          <w:tcPr>
            <w:tcW w:w="3838" w:type="pct"/>
            <w:gridSpan w:val="3"/>
            <w:vAlign w:val="center"/>
          </w:tcPr>
          <w:p w:rsidR="00CD7BEC" w:rsidRPr="00EB73AA" w:rsidRDefault="00D550DE" w:rsidP="00496354">
            <w:pPr>
              <w:pStyle w:val="Textoindependiente"/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Entidades registrarán </w:t>
            </w:r>
            <w:r w:rsidR="00CD7BEC" w:rsidRPr="00EB73AA">
              <w:rPr>
                <w:rFonts w:ascii="Arial" w:hAnsi="Arial" w:cs="Arial"/>
                <w:sz w:val="20"/>
                <w:szCs w:val="20"/>
              </w:rPr>
              <w:t xml:space="preserve">previamente en el SIIF </w:t>
            </w:r>
            <w:r w:rsidRPr="00EB73AA">
              <w:rPr>
                <w:rFonts w:ascii="Arial" w:hAnsi="Arial" w:cs="Arial"/>
                <w:sz w:val="20"/>
                <w:szCs w:val="20"/>
              </w:rPr>
              <w:t>Nación, la</w:t>
            </w:r>
            <w:r w:rsidR="00CD7BEC" w:rsidRPr="00EB73AA">
              <w:rPr>
                <w:rFonts w:ascii="Arial" w:hAnsi="Arial" w:cs="Arial"/>
                <w:sz w:val="20"/>
                <w:szCs w:val="20"/>
              </w:rPr>
              <w:t xml:space="preserve"> cuenta bancaria a través de la cual efectuará el pago de las obligaciones.  </w:t>
            </w:r>
          </w:p>
        </w:tc>
      </w:tr>
      <w:tr w:rsidR="00CD7BEC" w:rsidRPr="00EB73AA" w:rsidTr="00952721">
        <w:trPr>
          <w:trHeight w:val="563"/>
        </w:trPr>
        <w:tc>
          <w:tcPr>
            <w:tcW w:w="1162" w:type="pct"/>
            <w:gridSpan w:val="2"/>
            <w:noWrap/>
            <w:vAlign w:val="center"/>
          </w:tcPr>
          <w:p w:rsidR="00CD7BEC" w:rsidRPr="00EB73AA" w:rsidRDefault="00CD7BEC" w:rsidP="001961AF">
            <w:pPr>
              <w:pStyle w:val="Textoindependiente"/>
              <w:tabs>
                <w:tab w:val="left" w:pos="14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Certificación Bancaria</w:t>
            </w:r>
          </w:p>
        </w:tc>
        <w:tc>
          <w:tcPr>
            <w:tcW w:w="3838" w:type="pct"/>
            <w:gridSpan w:val="3"/>
            <w:vAlign w:val="center"/>
          </w:tcPr>
          <w:p w:rsidR="00CD7BEC" w:rsidRPr="00EB73AA" w:rsidRDefault="00CD7BEC" w:rsidP="00496354">
            <w:pPr>
              <w:pStyle w:val="Textoindependiente"/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Es el documento que será parte integral del acto administrativo  que afecte las apropiaciones presupuestales.</w:t>
            </w:r>
          </w:p>
        </w:tc>
      </w:tr>
      <w:tr w:rsidR="00C56A95" w:rsidRPr="00EB73AA" w:rsidTr="00952721">
        <w:trPr>
          <w:trHeight w:val="827"/>
        </w:trPr>
        <w:tc>
          <w:tcPr>
            <w:tcW w:w="1162" w:type="pct"/>
            <w:gridSpan w:val="2"/>
            <w:noWrap/>
            <w:vAlign w:val="center"/>
          </w:tcPr>
          <w:p w:rsidR="00C56A95" w:rsidRPr="00EB73AA" w:rsidRDefault="00C56A95" w:rsidP="001961AF">
            <w:pPr>
              <w:pStyle w:val="Textoindependiente"/>
              <w:tabs>
                <w:tab w:val="left" w:pos="14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Conciliación Bancaria</w:t>
            </w:r>
          </w:p>
        </w:tc>
        <w:tc>
          <w:tcPr>
            <w:tcW w:w="3838" w:type="pct"/>
            <w:gridSpan w:val="3"/>
            <w:vAlign w:val="center"/>
          </w:tcPr>
          <w:p w:rsidR="00C56A95" w:rsidRPr="00EB73AA" w:rsidRDefault="00C56A95" w:rsidP="00496354">
            <w:pPr>
              <w:pStyle w:val="Textoindependiente"/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Comparación entre datos informados por el banco de una cuenta corriente o de ahorros en un extracto con la información contable correspondiente a la contabilidad de la UNP, con explicación de las diferencia</w:t>
            </w:r>
            <w:r w:rsidR="001D0352" w:rsidRPr="00EB73AA">
              <w:rPr>
                <w:rFonts w:ascii="Arial" w:hAnsi="Arial" w:cs="Arial"/>
                <w:sz w:val="20"/>
                <w:szCs w:val="20"/>
              </w:rPr>
              <w:t>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si existen</w:t>
            </w:r>
            <w:r w:rsidR="001D0352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95" w:rsidRPr="00EB73AA" w:rsidTr="00952721">
        <w:trPr>
          <w:trHeight w:val="556"/>
        </w:trPr>
        <w:tc>
          <w:tcPr>
            <w:tcW w:w="1162" w:type="pct"/>
            <w:gridSpan w:val="2"/>
            <w:noWrap/>
            <w:vAlign w:val="center"/>
          </w:tcPr>
          <w:p w:rsidR="00C56A95" w:rsidRPr="00EB73AA" w:rsidRDefault="00C56A95" w:rsidP="001961AF">
            <w:pPr>
              <w:pStyle w:val="Textoindependiente"/>
              <w:tabs>
                <w:tab w:val="left" w:pos="14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Orden de Pago </w:t>
            </w:r>
          </w:p>
        </w:tc>
        <w:tc>
          <w:tcPr>
            <w:tcW w:w="3838" w:type="pct"/>
            <w:gridSpan w:val="3"/>
            <w:vAlign w:val="center"/>
          </w:tcPr>
          <w:p w:rsidR="00C56A95" w:rsidRPr="00EB73AA" w:rsidRDefault="00C56A95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Transacción mediante la cual el ordenador del pago solicita al Tesoro Nacional, la realización de los pagos de las obligaciones adquiridas de conformidad con la Ley</w:t>
            </w:r>
            <w:r w:rsidR="004A61F8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95" w:rsidRPr="00EB73AA" w:rsidTr="00952721">
        <w:trPr>
          <w:trHeight w:val="564"/>
        </w:trPr>
        <w:tc>
          <w:tcPr>
            <w:tcW w:w="1162" w:type="pct"/>
            <w:gridSpan w:val="2"/>
            <w:noWrap/>
            <w:vAlign w:val="center"/>
          </w:tcPr>
          <w:p w:rsidR="00C56A95" w:rsidRPr="00EB73AA" w:rsidRDefault="00C56A95" w:rsidP="001961AF">
            <w:pPr>
              <w:pStyle w:val="Textoindependiente"/>
              <w:tabs>
                <w:tab w:val="left" w:pos="14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Orden pago Valor Liquido Cero</w:t>
            </w:r>
          </w:p>
        </w:tc>
        <w:tc>
          <w:tcPr>
            <w:tcW w:w="3838" w:type="pct"/>
            <w:gridSpan w:val="3"/>
            <w:vAlign w:val="center"/>
          </w:tcPr>
          <w:p w:rsidR="00C56A95" w:rsidRPr="00EB73AA" w:rsidRDefault="00C56A95" w:rsidP="00496354">
            <w:pPr>
              <w:pStyle w:val="Textoindependiente"/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Son órdenes de pago que tiene como valor cero(O) las cuales son requisito para la creación de órdenes de pago no presupuestales</w:t>
            </w:r>
            <w:r w:rsidR="004A61F8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95" w:rsidRPr="00EB73AA" w:rsidTr="00952721">
        <w:trPr>
          <w:trHeight w:val="28"/>
        </w:trPr>
        <w:tc>
          <w:tcPr>
            <w:tcW w:w="5000" w:type="pct"/>
            <w:gridSpan w:val="5"/>
            <w:noWrap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MARCO LEGAL</w:t>
            </w:r>
          </w:p>
        </w:tc>
      </w:tr>
      <w:tr w:rsidR="00C56A95" w:rsidRPr="00EB73AA" w:rsidTr="00952721">
        <w:trPr>
          <w:trHeight w:val="4828"/>
        </w:trPr>
        <w:tc>
          <w:tcPr>
            <w:tcW w:w="5000" w:type="pct"/>
            <w:gridSpan w:val="5"/>
            <w:noWrap/>
            <w:vAlign w:val="center"/>
          </w:tcPr>
          <w:p w:rsidR="00426B35" w:rsidRDefault="00426B35" w:rsidP="00426B35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354">
              <w:rPr>
                <w:rFonts w:ascii="Arial" w:hAnsi="Arial" w:cs="Arial"/>
                <w:sz w:val="20"/>
                <w:szCs w:val="20"/>
              </w:rPr>
              <w:t>Decreto 111 de 1996: Por el cual se compilan la Ley 38 de 1989, la Ley 179 de 1994 y la Ley 225 de 1995 que conforman el Es</w:t>
            </w:r>
            <w:r>
              <w:rPr>
                <w:rFonts w:ascii="Arial" w:hAnsi="Arial" w:cs="Arial"/>
                <w:sz w:val="20"/>
                <w:szCs w:val="20"/>
              </w:rPr>
              <w:t>tatuto Orgánico del Presupuesto.</w:t>
            </w:r>
          </w:p>
          <w:p w:rsidR="00426B35" w:rsidRDefault="00426B35" w:rsidP="00426B3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B35" w:rsidRPr="00426B35" w:rsidRDefault="00426B35" w:rsidP="00426B35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354">
              <w:rPr>
                <w:rFonts w:ascii="Arial" w:hAnsi="Arial" w:cs="Arial"/>
                <w:sz w:val="20"/>
                <w:szCs w:val="20"/>
              </w:rPr>
              <w:t xml:space="preserve">Ley 617 de 2000: Esta ley contiene normas sobre categorización, saneamiento fiscal de las entidades </w:t>
            </w:r>
            <w:r w:rsidR="00D550DE" w:rsidRPr="00496354">
              <w:rPr>
                <w:rFonts w:ascii="Arial" w:hAnsi="Arial" w:cs="Arial"/>
                <w:sz w:val="20"/>
                <w:szCs w:val="20"/>
              </w:rPr>
              <w:t>territoriales,</w:t>
            </w:r>
            <w:r w:rsidRPr="00496354">
              <w:rPr>
                <w:rFonts w:ascii="Arial" w:hAnsi="Arial" w:cs="Arial"/>
                <w:sz w:val="20"/>
                <w:szCs w:val="20"/>
              </w:rPr>
              <w:t xml:space="preserve"> así como normas de austeridad para las entidades del orden nacional.</w:t>
            </w:r>
          </w:p>
          <w:p w:rsidR="00426B35" w:rsidRPr="00496354" w:rsidRDefault="00426B35" w:rsidP="00426B3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B35" w:rsidRDefault="00D550DE" w:rsidP="00426B35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354">
              <w:rPr>
                <w:rFonts w:ascii="Arial" w:hAnsi="Arial" w:cs="Arial"/>
                <w:sz w:val="20"/>
                <w:szCs w:val="20"/>
              </w:rPr>
              <w:t>Decreto 1957</w:t>
            </w:r>
            <w:r w:rsidR="00426B35" w:rsidRPr="0049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354">
              <w:rPr>
                <w:rFonts w:ascii="Arial" w:hAnsi="Arial" w:cs="Arial"/>
                <w:sz w:val="20"/>
                <w:szCs w:val="20"/>
              </w:rPr>
              <w:t>del 30</w:t>
            </w:r>
            <w:r w:rsidR="00426B35" w:rsidRPr="00496354">
              <w:rPr>
                <w:rFonts w:ascii="Arial" w:hAnsi="Arial" w:cs="Arial"/>
                <w:sz w:val="20"/>
                <w:szCs w:val="20"/>
              </w:rPr>
              <w:t xml:space="preserve"> de mayo de 2007: Por el cual se reglamentan normas orgánicas del presupuesto y se dictan otras disposiciones en la materia.</w:t>
            </w:r>
          </w:p>
          <w:p w:rsidR="00426B35" w:rsidRPr="00426B35" w:rsidRDefault="00426B35" w:rsidP="00426B3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26B35" w:rsidRDefault="00426B35" w:rsidP="00426B35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6354">
              <w:rPr>
                <w:rFonts w:ascii="Arial" w:eastAsia="Times New Roman" w:hAnsi="Arial" w:cs="Arial"/>
                <w:sz w:val="20"/>
                <w:szCs w:val="20"/>
              </w:rPr>
              <w:t>Decreto 4836 del 21 de diciembre de 2011: Por el cual se reglamentan normas orgánicas del presupuesto y se modifican los Decretos 115 de 1996, 4730 de 2005, 1957 de 2007 y 2844 de 2010, y se dictan ot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ras disposiciones en la materia.</w:t>
            </w:r>
          </w:p>
          <w:p w:rsidR="00426B35" w:rsidRPr="00426B35" w:rsidRDefault="00426B35" w:rsidP="00426B35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26B35" w:rsidRDefault="00D550DE" w:rsidP="00426B35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354">
              <w:rPr>
                <w:rFonts w:ascii="Arial" w:hAnsi="Arial" w:cs="Arial"/>
                <w:sz w:val="20"/>
                <w:szCs w:val="20"/>
              </w:rPr>
              <w:t>Decreto 2674</w:t>
            </w:r>
            <w:r w:rsidR="00426B35" w:rsidRPr="00496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354">
              <w:rPr>
                <w:rFonts w:ascii="Arial" w:hAnsi="Arial" w:cs="Arial"/>
                <w:sz w:val="20"/>
                <w:szCs w:val="20"/>
              </w:rPr>
              <w:t>del 21</w:t>
            </w:r>
            <w:r w:rsidR="00426B35" w:rsidRPr="0049635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96354">
              <w:rPr>
                <w:rFonts w:ascii="Arial" w:hAnsi="Arial" w:cs="Arial"/>
                <w:sz w:val="20"/>
                <w:szCs w:val="20"/>
              </w:rPr>
              <w:t>diciembre</w:t>
            </w:r>
            <w:r w:rsidR="00426B35" w:rsidRPr="00496354">
              <w:rPr>
                <w:rFonts w:ascii="Arial" w:hAnsi="Arial" w:cs="Arial"/>
                <w:sz w:val="20"/>
                <w:szCs w:val="20"/>
              </w:rPr>
              <w:t xml:space="preserve"> de 2012: Por el cual se reglamenta el Sistema Integrado de Información Financiera -SIIF Nación.</w:t>
            </w:r>
          </w:p>
          <w:p w:rsidR="00426B35" w:rsidRPr="00426B35" w:rsidRDefault="00426B35" w:rsidP="00426B3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26B35" w:rsidRPr="00426B35" w:rsidRDefault="00426B35" w:rsidP="00426B35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Decreto No. 3035 del 27 de </w:t>
            </w:r>
            <w:r w:rsidR="00D550DE" w:rsidRPr="004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diciembre</w:t>
            </w:r>
            <w:r w:rsidRPr="0049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2013: Por el cual se liquida el Presupuesto General de la Nación para la vigencia fiscal de 2014, se detallan las apropiaciones y se clasifican y definen los gastos.</w:t>
            </w:r>
          </w:p>
          <w:p w:rsidR="00B33C32" w:rsidRPr="0084285F" w:rsidRDefault="00B33C32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33C32" w:rsidRPr="00496354" w:rsidRDefault="000A24F5" w:rsidP="00496354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B35">
              <w:rPr>
                <w:rFonts w:ascii="Arial" w:hAnsi="Arial" w:cs="Arial"/>
                <w:sz w:val="20"/>
                <w:szCs w:val="20"/>
              </w:rPr>
              <w:t>Ley 1769 de</w:t>
            </w:r>
            <w:r w:rsidR="00426B35" w:rsidRPr="00426B3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D550DE" w:rsidRPr="00426B35">
              <w:rPr>
                <w:rFonts w:ascii="Arial" w:hAnsi="Arial" w:cs="Arial"/>
                <w:sz w:val="20"/>
                <w:szCs w:val="20"/>
              </w:rPr>
              <w:t>24 noviembre</w:t>
            </w:r>
            <w:r w:rsidRPr="00426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C32" w:rsidRPr="00426B3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26B35" w:rsidRPr="00426B35">
              <w:rPr>
                <w:rFonts w:ascii="Arial" w:hAnsi="Arial" w:cs="Arial"/>
                <w:sz w:val="20"/>
                <w:szCs w:val="20"/>
              </w:rPr>
              <w:t>2015</w:t>
            </w:r>
            <w:r w:rsidR="009C24F4" w:rsidRPr="00426B35">
              <w:rPr>
                <w:rFonts w:ascii="Arial" w:hAnsi="Arial" w:cs="Arial"/>
                <w:sz w:val="20"/>
                <w:szCs w:val="20"/>
              </w:rPr>
              <w:t>:</w:t>
            </w:r>
            <w:r w:rsidR="004A61F8" w:rsidRPr="00426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C32" w:rsidRPr="00426B35">
              <w:rPr>
                <w:rFonts w:ascii="Arial" w:hAnsi="Arial" w:cs="Arial"/>
                <w:sz w:val="20"/>
                <w:szCs w:val="20"/>
              </w:rPr>
              <w:t>Por la</w:t>
            </w:r>
            <w:r w:rsidR="00B33C32" w:rsidRPr="00496354">
              <w:rPr>
                <w:rFonts w:ascii="Arial" w:hAnsi="Arial" w:cs="Arial"/>
                <w:sz w:val="20"/>
                <w:szCs w:val="20"/>
              </w:rPr>
              <w:t xml:space="preserve"> cual se decreta el presupuesto de rentas y recursos de capital y ley de apropiaciones para la vigencia fiscal del 1o. de </w:t>
            </w:r>
            <w:r w:rsidR="00426B35">
              <w:rPr>
                <w:rFonts w:ascii="Arial" w:hAnsi="Arial" w:cs="Arial"/>
                <w:sz w:val="20"/>
                <w:szCs w:val="20"/>
              </w:rPr>
              <w:t>enero al 31 de diciembre de 2016</w:t>
            </w:r>
            <w:r w:rsidR="004A61F8" w:rsidRPr="004963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75C2" w:rsidRPr="00EB73AA" w:rsidRDefault="007975C2" w:rsidP="00426B35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A95" w:rsidRPr="00EB73AA" w:rsidTr="00952721">
        <w:trPr>
          <w:trHeight w:val="124"/>
        </w:trPr>
        <w:tc>
          <w:tcPr>
            <w:tcW w:w="5000" w:type="pct"/>
            <w:gridSpan w:val="5"/>
            <w:noWrap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CONSIDERACIONES GENERALES</w:t>
            </w:r>
          </w:p>
        </w:tc>
      </w:tr>
      <w:tr w:rsidR="00C56A95" w:rsidRPr="00EB73AA" w:rsidTr="00952721">
        <w:trPr>
          <w:trHeight w:val="1655"/>
        </w:trPr>
        <w:tc>
          <w:tcPr>
            <w:tcW w:w="5000" w:type="pct"/>
            <w:gridSpan w:val="5"/>
            <w:vAlign w:val="center"/>
          </w:tcPr>
          <w:p w:rsidR="00C56A95" w:rsidRDefault="00C56A95" w:rsidP="001961AF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73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Realizar los pagos según la normatividad vigente.</w:t>
            </w:r>
          </w:p>
          <w:p w:rsidR="00496354" w:rsidRPr="00496354" w:rsidRDefault="00496354" w:rsidP="0049635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CD7BEC" w:rsidRDefault="00CD7BEC" w:rsidP="001961AF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73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Cada uno de los pagos debe ajustarse al plan de pagos programado con cargo al cupo PAC; de lo contrario, si se altera el plan, será requisito modificarlo o hacer una reprogramación.</w:t>
            </w:r>
          </w:p>
          <w:p w:rsidR="00496354" w:rsidRPr="00496354" w:rsidRDefault="00496354" w:rsidP="00496354">
            <w:pPr>
              <w:pStyle w:val="Prrafodelista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216F10" w:rsidRPr="00216F10" w:rsidRDefault="00815B8E" w:rsidP="00216F10">
            <w:pPr>
              <w:pStyle w:val="Textoindependient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En el evento que se haga un pago no debido a través de dichas cuentas, serán responsables el ordenador del gasto y los funcionarios de la entidad,  cuyos perfiles de usuarios intervinieron en el pago.</w:t>
            </w:r>
          </w:p>
        </w:tc>
      </w:tr>
      <w:tr w:rsidR="00C56A95" w:rsidRPr="00EB73AA" w:rsidTr="00952721">
        <w:trPr>
          <w:trHeight w:val="53"/>
        </w:trPr>
        <w:tc>
          <w:tcPr>
            <w:tcW w:w="5000" w:type="pct"/>
            <w:gridSpan w:val="5"/>
            <w:noWrap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CONTENIDO</w:t>
            </w:r>
          </w:p>
        </w:tc>
      </w:tr>
      <w:tr w:rsidR="00496354" w:rsidRPr="00EB73AA" w:rsidTr="00952721">
        <w:trPr>
          <w:trHeight w:val="107"/>
        </w:trPr>
        <w:tc>
          <w:tcPr>
            <w:tcW w:w="1057" w:type="pct"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  <w:r w:rsidR="007975C2"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6" w:type="pct"/>
            <w:gridSpan w:val="3"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898" w:type="pct"/>
            <w:vAlign w:val="center"/>
            <w:hideMark/>
          </w:tcPr>
          <w:p w:rsidR="00C56A95" w:rsidRPr="00EB73AA" w:rsidRDefault="00C56A95" w:rsidP="00196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bCs/>
                <w:sz w:val="20"/>
                <w:szCs w:val="20"/>
              </w:rPr>
              <w:t>OBSERVACIONES A TENER EN CUENTA</w:t>
            </w:r>
          </w:p>
        </w:tc>
      </w:tr>
      <w:tr w:rsidR="00496354" w:rsidRPr="00EB73AA" w:rsidTr="00952721">
        <w:trPr>
          <w:trHeight w:val="1330"/>
        </w:trPr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lastRenderedPageBreak/>
              <w:t>Profesional Universitario de Tesorería</w:t>
            </w:r>
          </w:p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shd w:val="clear" w:color="auto" w:fill="auto"/>
            <w:noWrap/>
            <w:vAlign w:val="center"/>
          </w:tcPr>
          <w:p w:rsidR="00C56A95" w:rsidRPr="00EB73AA" w:rsidRDefault="00C56A9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Crear cuentas bancarias de tesorería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C56A95" w:rsidRPr="00EB73AA" w:rsidRDefault="00C56A95" w:rsidP="0084285F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Se abre cuenta bancaria en una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de las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entidades financieras vigiladas por la Superintendencia financiera de Colombia; -</w:t>
            </w:r>
            <w:r w:rsidR="00E03D13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Se solicita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autorización de cuenta bancaria a la DTN-(Memorando y SIIF II -Nación); - Crea cuentas bancarias de la autorización aprobada por la 13-01-01-DT (SIIF II -Nación); - Se crean las cuentas bancarias de</w:t>
            </w:r>
            <w:r w:rsidR="003211F8" w:rsidRPr="00EB73AA">
              <w:rPr>
                <w:rFonts w:ascii="Arial" w:hAnsi="Arial" w:cs="Arial"/>
                <w:sz w:val="20"/>
                <w:szCs w:val="20"/>
              </w:rPr>
              <w:t xml:space="preserve"> la Tesorería diferentes a las 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utorizadas, </w:t>
            </w:r>
            <w:r w:rsidR="003211F8" w:rsidRPr="00EB73AA">
              <w:rPr>
                <w:rFonts w:ascii="Arial" w:hAnsi="Arial" w:cs="Arial"/>
                <w:sz w:val="20"/>
                <w:szCs w:val="20"/>
              </w:rPr>
              <w:t>t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odas las cuentas requieren confirmación por Presupuesto. </w:t>
            </w:r>
          </w:p>
          <w:p w:rsidR="00C56A95" w:rsidRPr="00496354" w:rsidRDefault="00C56A95" w:rsidP="0084285F">
            <w:pPr>
              <w:tabs>
                <w:tab w:val="left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3537" w:rsidRPr="00EB73AA" w:rsidRDefault="00C56A95" w:rsidP="0084285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 xml:space="preserve">Documento soporte: </w:t>
            </w:r>
          </w:p>
          <w:p w:rsidR="00C56A95" w:rsidRPr="00EB73AA" w:rsidRDefault="00C56A95" w:rsidP="0084285F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Formato de apertura de cuenta;</w:t>
            </w:r>
            <w:r w:rsidR="00E03D13" w:rsidRPr="00EB73AA">
              <w:rPr>
                <w:rFonts w:ascii="Arial" w:hAnsi="Arial" w:cs="Arial"/>
                <w:sz w:val="20"/>
                <w:szCs w:val="20"/>
              </w:rPr>
              <w:t xml:space="preserve"> - Reporte de la cuenta en el  a</w:t>
            </w:r>
            <w:r w:rsidRPr="00EB73AA">
              <w:rPr>
                <w:rFonts w:ascii="Arial" w:hAnsi="Arial" w:cs="Arial"/>
                <w:sz w:val="20"/>
                <w:szCs w:val="20"/>
              </w:rPr>
              <w:t>plicativo SIIF II Nación; -</w:t>
            </w:r>
            <w:r w:rsidR="00E03D13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Formato de cuenta reportada excepción de GMF del  Ministerio de Hacienda y </w:t>
            </w:r>
            <w:r w:rsidR="00E03D13" w:rsidRPr="00EB73AA">
              <w:rPr>
                <w:rFonts w:ascii="Arial" w:hAnsi="Arial" w:cs="Arial"/>
                <w:sz w:val="20"/>
                <w:szCs w:val="20"/>
              </w:rPr>
              <w:t>C</w:t>
            </w:r>
            <w:r w:rsidRPr="00EB73AA">
              <w:rPr>
                <w:rFonts w:ascii="Arial" w:hAnsi="Arial" w:cs="Arial"/>
                <w:sz w:val="20"/>
                <w:szCs w:val="20"/>
              </w:rPr>
              <w:t>rédito público</w:t>
            </w:r>
            <w:r w:rsidR="009C14B8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6354" w:rsidRPr="00EB73AA" w:rsidTr="00952721">
        <w:trPr>
          <w:trHeight w:val="207"/>
        </w:trPr>
        <w:tc>
          <w:tcPr>
            <w:tcW w:w="1057" w:type="pct"/>
            <w:tcBorders>
              <w:top w:val="single" w:sz="4" w:space="0" w:color="auto"/>
            </w:tcBorders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Tesorería-Profesional Universitario de Contratos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0C7030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Generar Ordenes de Pago  Presupuestales Sin instrucciones adicionales de pago - Beneficiario final</w:t>
            </w:r>
          </w:p>
        </w:tc>
        <w:tc>
          <w:tcPr>
            <w:tcW w:w="2898" w:type="pct"/>
            <w:vAlign w:val="center"/>
          </w:tcPr>
          <w:p w:rsidR="00C56A95" w:rsidRDefault="00662029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Verifica documentos soporte de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cada cuenta, elabora la orden de pago presupuestal con base en la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obligación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suministrada por Contabilidad en donde se establece el medio de pago y el tipo de beneficiario 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>(f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inal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 xml:space="preserve"> o t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raspaso a 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>p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agaduría</w:t>
            </w:r>
            <w:r w:rsidRPr="00EB73AA">
              <w:rPr>
                <w:rFonts w:ascii="Arial" w:hAnsi="Arial" w:cs="Arial"/>
                <w:sz w:val="20"/>
                <w:szCs w:val="20"/>
              </w:rPr>
              <w:t>) y autoriza.</w:t>
            </w:r>
          </w:p>
          <w:p w:rsidR="00300250" w:rsidRPr="00EB73AA" w:rsidRDefault="00300250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2029" w:rsidRPr="00EB73AA" w:rsidRDefault="00426B35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los (2) días siguientes 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se verifica que el pago </w:t>
            </w:r>
            <w:r w:rsidR="00300250">
              <w:rPr>
                <w:rFonts w:ascii="Arial" w:hAnsi="Arial" w:cs="Arial"/>
                <w:sz w:val="20"/>
                <w:szCs w:val="20"/>
              </w:rPr>
              <w:t xml:space="preserve">se haya realizado exitosamente 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>y se imprime la orden de pago</w:t>
            </w:r>
          </w:p>
          <w:p w:rsidR="00F434F2" w:rsidRPr="00766EE6" w:rsidRDefault="00F434F2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F434F2" w:rsidRPr="00EB73AA" w:rsidRDefault="00C56A95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</w:t>
            </w:r>
            <w:r w:rsidRPr="00EB73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56A95" w:rsidRPr="00EB73AA" w:rsidRDefault="00F434F2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F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 xml:space="preserve">ormato control de registro ruta financiera, 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>reporte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 xml:space="preserve"> de órdenes de pago p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>resupuestales</w:t>
            </w:r>
            <w:r w:rsidR="00EB7B15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>- soportes de p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>ago</w:t>
            </w:r>
            <w:r w:rsidR="001C1D62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6354" w:rsidRPr="00EB73AA" w:rsidTr="00952721">
        <w:trPr>
          <w:trHeight w:val="1369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662029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Generar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Órdenes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Pago  Presupuestales con instrucciones adicionales de pago (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servicios públicos</w:t>
            </w:r>
            <w:r w:rsidRPr="00EB73AA">
              <w:rPr>
                <w:rFonts w:ascii="Arial" w:hAnsi="Arial" w:cs="Arial"/>
                <w:sz w:val="20"/>
                <w:szCs w:val="20"/>
              </w:rPr>
              <w:t>)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8" w:type="pct"/>
            <w:vAlign w:val="center"/>
          </w:tcPr>
          <w:p w:rsidR="00C56A95" w:rsidRPr="00EB73AA" w:rsidRDefault="00662029" w:rsidP="00766EE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Verifica documentos soporte de cada servicio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público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, elabora la orden de pago presupuestal con base en la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obligación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suministradas por Contabilidad en donde se establece el medio de pago y el tipo de beneficiario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(</w:t>
            </w:r>
            <w:r w:rsidR="00EB7B15" w:rsidRPr="00EB73AA">
              <w:rPr>
                <w:rFonts w:ascii="Arial" w:hAnsi="Arial" w:cs="Arial"/>
                <w:sz w:val="20"/>
                <w:szCs w:val="20"/>
              </w:rPr>
              <w:t>f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inal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EB7B15" w:rsidRPr="00EB73AA">
              <w:rPr>
                <w:rFonts w:ascii="Arial" w:hAnsi="Arial" w:cs="Arial"/>
                <w:sz w:val="20"/>
                <w:szCs w:val="20"/>
              </w:rPr>
              <w:t>t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raspaso a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pagaduría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), vincula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las instrucciones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adicionales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pago (# de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factura, y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/o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número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contrato)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y autoriza</w:t>
            </w:r>
            <w:r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2029" w:rsidRPr="00766EE6" w:rsidRDefault="00662029" w:rsidP="00766EE6">
            <w:pPr>
              <w:tabs>
                <w:tab w:val="left" w:pos="0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9B7AFC" w:rsidP="00766EE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los (2) días siguientes s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e verifica que el pago se haya realizado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exitosamente y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 se imprime la orden de pago.</w:t>
            </w:r>
          </w:p>
          <w:p w:rsidR="00662029" w:rsidRPr="00766EE6" w:rsidRDefault="00662029" w:rsidP="00766EE6">
            <w:pPr>
              <w:tabs>
                <w:tab w:val="left" w:pos="0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B7B15" w:rsidRPr="00EB73AA" w:rsidRDefault="00C56A95" w:rsidP="00766EE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6A95" w:rsidRPr="00EB73AA" w:rsidRDefault="00333195" w:rsidP="00766EE6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Reporte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órdenes de p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 xml:space="preserve">ago </w:t>
            </w:r>
            <w:r w:rsidRPr="00EB73AA">
              <w:rPr>
                <w:rFonts w:ascii="Arial" w:hAnsi="Arial" w:cs="Arial"/>
                <w:sz w:val="20"/>
                <w:szCs w:val="20"/>
              </w:rPr>
              <w:t>presupuestales- s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 xml:space="preserve">oportes de </w:t>
            </w:r>
            <w:r w:rsidRPr="00EB73AA">
              <w:rPr>
                <w:rFonts w:ascii="Arial" w:hAnsi="Arial" w:cs="Arial"/>
                <w:sz w:val="20"/>
                <w:szCs w:val="20"/>
              </w:rPr>
              <w:t>p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>ago</w:t>
            </w:r>
            <w:r w:rsidR="009134E8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6354" w:rsidRPr="00EB73AA" w:rsidTr="00952721">
        <w:trPr>
          <w:trHeight w:val="1198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662029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Generar Ordenes de Pago (traspaso a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pagaduría</w:t>
            </w:r>
            <w:r w:rsidR="00E201FE">
              <w:rPr>
                <w:rFonts w:ascii="Arial" w:hAnsi="Arial" w:cs="Arial"/>
                <w:sz w:val="20"/>
                <w:szCs w:val="20"/>
              </w:rPr>
              <w:t xml:space="preserve">) presupuestales y </w:t>
            </w:r>
            <w:r w:rsidRPr="00EB73AA">
              <w:rPr>
                <w:rFonts w:ascii="Arial" w:hAnsi="Arial" w:cs="Arial"/>
                <w:sz w:val="20"/>
                <w:szCs w:val="20"/>
              </w:rPr>
              <w:t>No Presupuestales (Deducciones de Empleado)</w:t>
            </w:r>
          </w:p>
          <w:p w:rsidR="00C56A95" w:rsidRPr="00EB73AA" w:rsidRDefault="00C56A95" w:rsidP="00525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vAlign w:val="center"/>
          </w:tcPr>
          <w:p w:rsidR="00662029" w:rsidRDefault="00662029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Con base a las deducciones retenidas en la orden de pago presupuestal de nómina y a cuentas con medio de pago giro realiza la orden de pago pre</w:t>
            </w:r>
            <w:r w:rsidR="00C26C32" w:rsidRPr="00EB73AA">
              <w:rPr>
                <w:rFonts w:ascii="Arial" w:hAnsi="Arial" w:cs="Arial"/>
                <w:sz w:val="20"/>
                <w:szCs w:val="20"/>
              </w:rPr>
              <w:t>supuestal o no presupuestal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(traspaso a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pagaduría</w:t>
            </w:r>
            <w:r w:rsidRPr="00EB73A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B7AFC" w:rsidRDefault="009B7AFC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AFC" w:rsidRPr="00EB73AA" w:rsidRDefault="009B7AFC" w:rsidP="009B7A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 los (2) días siguientes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se verifica que el pago haya sido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exitoso y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se imprime comprobante.</w:t>
            </w:r>
          </w:p>
          <w:p w:rsidR="00662029" w:rsidRPr="00496354" w:rsidRDefault="00662029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C56A95" w:rsidRPr="00EB73AA" w:rsidRDefault="00662029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Verifica que la orden de pago se encuentre en estado pagado   y se imprime.</w:t>
            </w:r>
          </w:p>
          <w:p w:rsidR="00662029" w:rsidRPr="00496354" w:rsidRDefault="00662029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662029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Realiza cargue y despliegue del pago en la entidad bancaria correspondiente, e imprime comprobante de pago.</w:t>
            </w:r>
          </w:p>
          <w:p w:rsidR="00662029" w:rsidRPr="00496354" w:rsidRDefault="00662029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496354" w:rsidRDefault="00662029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C3403C" w:rsidRPr="00EB73AA" w:rsidRDefault="00C56A95" w:rsidP="00766E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C56A95" w:rsidRPr="00496354" w:rsidRDefault="00C56A95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Reporte SIIF de  las 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>órdenes de pago  no presupuestales- soportes de p</w:t>
            </w:r>
            <w:r w:rsidRPr="00EB73AA">
              <w:rPr>
                <w:rFonts w:ascii="Arial" w:hAnsi="Arial" w:cs="Arial"/>
                <w:sz w:val="20"/>
                <w:szCs w:val="20"/>
              </w:rPr>
              <w:t>ag</w:t>
            </w:r>
            <w:r w:rsidR="00496354">
              <w:rPr>
                <w:rFonts w:ascii="Arial" w:hAnsi="Arial" w:cs="Arial"/>
                <w:sz w:val="20"/>
                <w:szCs w:val="20"/>
              </w:rPr>
              <w:t>o.</w:t>
            </w:r>
          </w:p>
        </w:tc>
      </w:tr>
      <w:tr w:rsidR="00496354" w:rsidRPr="00EB73AA" w:rsidTr="00952721">
        <w:trPr>
          <w:trHeight w:val="856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lastRenderedPageBreak/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662029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Generar Ordenes de Pago   No P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resu</w:t>
            </w:r>
            <w:r w:rsidRPr="00EB73AA">
              <w:rPr>
                <w:rFonts w:ascii="Arial" w:hAnsi="Arial" w:cs="Arial"/>
                <w:sz w:val="20"/>
                <w:szCs w:val="20"/>
              </w:rPr>
              <w:t>p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ues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tales y ordenes bancarias (culminación traspaso a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pagaduría</w:t>
            </w:r>
            <w:r w:rsidRPr="00EB73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98" w:type="pct"/>
            <w:vAlign w:val="center"/>
          </w:tcPr>
          <w:p w:rsidR="00C56A95" w:rsidRPr="00EB73AA" w:rsidRDefault="00662029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Una vez realizado el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despliegue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del pago por la entidad financiera se realiza una orden de pago no presupuestal, se autoriza y se realiza orden bancaria (soportadas en 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>abono en cuenta, giro o c</w:t>
            </w:r>
            <w:r w:rsidRPr="00EB73AA">
              <w:rPr>
                <w:rFonts w:ascii="Arial" w:hAnsi="Arial" w:cs="Arial"/>
                <w:sz w:val="20"/>
                <w:szCs w:val="20"/>
              </w:rPr>
              <w:t>heque) para formalizar pago en el SIIF.</w:t>
            </w:r>
          </w:p>
          <w:p w:rsidR="00662029" w:rsidRPr="00496354" w:rsidRDefault="00662029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E03142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los (2) días siguientes 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>se verifica que la transacción se haya realizado exitosamente en el sistema y se imprime orden bancaria.</w:t>
            </w:r>
          </w:p>
          <w:p w:rsidR="00662029" w:rsidRPr="00496354" w:rsidRDefault="00662029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Default="00C6737B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Para modificar la 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pago de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una </w:t>
            </w:r>
            <w:r w:rsidR="00DC0BE2" w:rsidRPr="00EB73AA">
              <w:rPr>
                <w:rFonts w:ascii="Arial" w:hAnsi="Arial" w:cs="Arial"/>
                <w:sz w:val="20"/>
                <w:szCs w:val="20"/>
              </w:rPr>
              <w:t>orden de pago p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resupuestal o no </w:t>
            </w:r>
            <w:r w:rsidR="00DC0BE2" w:rsidRPr="00EB73AA">
              <w:rPr>
                <w:rFonts w:ascii="Arial" w:hAnsi="Arial" w:cs="Arial"/>
                <w:sz w:val="20"/>
                <w:szCs w:val="20"/>
              </w:rPr>
              <w:t>p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resupuestal</w:t>
            </w:r>
            <w:r w:rsidR="00333195" w:rsidRPr="00EB73AA">
              <w:rPr>
                <w:rFonts w:ascii="Arial" w:hAnsi="Arial" w:cs="Arial"/>
                <w:sz w:val="20"/>
                <w:szCs w:val="20"/>
              </w:rPr>
              <w:t xml:space="preserve"> - s</w:t>
            </w:r>
            <w:r w:rsidR="00DC0BE2" w:rsidRPr="00EB73AA">
              <w:rPr>
                <w:rFonts w:ascii="Arial" w:hAnsi="Arial" w:cs="Arial"/>
                <w:sz w:val="20"/>
                <w:szCs w:val="20"/>
              </w:rPr>
              <w:t>e b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loquea y se </w:t>
            </w:r>
            <w:r w:rsidRPr="00EB73AA">
              <w:rPr>
                <w:rFonts w:ascii="Arial" w:hAnsi="Arial" w:cs="Arial"/>
                <w:sz w:val="20"/>
                <w:szCs w:val="20"/>
              </w:rPr>
              <w:t>modifica la fecha del nuevo pago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 en los casos que se requiera.</w:t>
            </w:r>
          </w:p>
          <w:p w:rsidR="00496354" w:rsidRPr="00496354" w:rsidRDefault="00496354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C56A95" w:rsidRPr="00EB73AA" w:rsidRDefault="00C56A95" w:rsidP="00766E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 xml:space="preserve">Punto de control: </w:t>
            </w:r>
          </w:p>
          <w:p w:rsidR="00C56A95" w:rsidRPr="00EB73AA" w:rsidRDefault="00C56A95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Corregir </w:t>
            </w:r>
            <w:r w:rsidR="000E598E" w:rsidRPr="00EB73AA">
              <w:rPr>
                <w:rFonts w:ascii="Arial" w:hAnsi="Arial" w:cs="Arial"/>
                <w:sz w:val="20"/>
                <w:szCs w:val="20"/>
              </w:rPr>
              <w:t>las fechas de pago</w:t>
            </w:r>
            <w:r w:rsidR="00F61C13">
              <w:rPr>
                <w:rFonts w:ascii="Arial" w:hAnsi="Arial" w:cs="Arial"/>
                <w:sz w:val="20"/>
                <w:szCs w:val="20"/>
              </w:rPr>
              <w:t xml:space="preserve">, órdenes de pago </w:t>
            </w:r>
            <w:r w:rsidR="000E598E" w:rsidRPr="00EB73AA">
              <w:rPr>
                <w:rFonts w:ascii="Arial" w:hAnsi="Arial" w:cs="Arial"/>
                <w:sz w:val="20"/>
                <w:szCs w:val="20"/>
              </w:rPr>
              <w:t>presupuestales y n</w:t>
            </w:r>
            <w:r w:rsidRPr="00EB73AA">
              <w:rPr>
                <w:rFonts w:ascii="Arial" w:hAnsi="Arial" w:cs="Arial"/>
                <w:sz w:val="20"/>
                <w:szCs w:val="20"/>
              </w:rPr>
              <w:t>o presupuestales. B</w:t>
            </w:r>
            <w:r w:rsidR="000E598E" w:rsidRPr="00EB73AA">
              <w:rPr>
                <w:rFonts w:ascii="Arial" w:hAnsi="Arial" w:cs="Arial"/>
                <w:sz w:val="20"/>
                <w:szCs w:val="20"/>
              </w:rPr>
              <w:t>loquearla o d</w:t>
            </w:r>
            <w:r w:rsidRPr="00EB73AA">
              <w:rPr>
                <w:rFonts w:ascii="Arial" w:hAnsi="Arial" w:cs="Arial"/>
                <w:sz w:val="20"/>
                <w:szCs w:val="20"/>
              </w:rPr>
              <w:t>esbloquearla según lo que se requiera y poder controlar los pagos.</w:t>
            </w:r>
          </w:p>
          <w:p w:rsidR="00496354" w:rsidRPr="00496354" w:rsidRDefault="00496354" w:rsidP="00766EE6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3F1442" w:rsidRPr="00EB73AA" w:rsidRDefault="00C56A95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496354" w:rsidRPr="00EB73AA" w:rsidRDefault="00E03142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Reportes SIIF Nación 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E1871" w:rsidRPr="00EB73AA">
              <w:rPr>
                <w:rFonts w:ascii="Arial" w:hAnsi="Arial" w:cs="Arial"/>
                <w:sz w:val="20"/>
                <w:szCs w:val="20"/>
              </w:rPr>
              <w:t>las órdenes de p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 xml:space="preserve">ago </w:t>
            </w:r>
            <w:r w:rsidR="004E1871" w:rsidRPr="00EB73AA">
              <w:rPr>
                <w:rFonts w:ascii="Arial" w:hAnsi="Arial" w:cs="Arial"/>
                <w:sz w:val="20"/>
                <w:szCs w:val="20"/>
              </w:rPr>
              <w:t>presupuestal y no p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>resupuestal.</w:t>
            </w:r>
          </w:p>
        </w:tc>
      </w:tr>
      <w:tr w:rsidR="00496354" w:rsidRPr="00EB73AA" w:rsidTr="00832631">
        <w:trPr>
          <w:trHeight w:val="773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Pagar</w:t>
            </w:r>
            <w:r w:rsidR="00662029" w:rsidRPr="00EB73AA">
              <w:rPr>
                <w:rFonts w:ascii="Arial" w:hAnsi="Arial" w:cs="Arial"/>
                <w:sz w:val="20"/>
                <w:szCs w:val="20"/>
              </w:rPr>
              <w:t xml:space="preserve"> Nómina</w:t>
            </w:r>
          </w:p>
        </w:tc>
        <w:tc>
          <w:tcPr>
            <w:tcW w:w="2898" w:type="pct"/>
            <w:vAlign w:val="center"/>
          </w:tcPr>
          <w:p w:rsidR="00C56A95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Verificación de consistencia de información de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nómina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para solicitud de recursos.</w:t>
            </w:r>
            <w:r w:rsidRPr="00EB73A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  <w:p w:rsidR="00662029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Cruza el archivo plano con el archivo de </w:t>
            </w:r>
            <w:r w:rsidR="00496354" w:rsidRPr="00EB73AA">
              <w:rPr>
                <w:rFonts w:ascii="Arial" w:hAnsi="Arial" w:cs="Arial"/>
                <w:sz w:val="20"/>
                <w:szCs w:val="20"/>
              </w:rPr>
              <w:t>Excel</w:t>
            </w:r>
            <w:r w:rsidRPr="00EB73AA">
              <w:rPr>
                <w:rFonts w:ascii="Arial" w:hAnsi="Arial" w:cs="Arial"/>
                <w:sz w:val="20"/>
                <w:szCs w:val="20"/>
              </w:rPr>
              <w:t>, remitidos por</w:t>
            </w:r>
            <w:r w:rsidR="009B7AFC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237E74">
              <w:rPr>
                <w:rFonts w:ascii="Arial" w:hAnsi="Arial" w:cs="Arial"/>
                <w:sz w:val="20"/>
                <w:szCs w:val="20"/>
              </w:rPr>
              <w:t>S</w:t>
            </w:r>
            <w:r w:rsidR="009B7AFC">
              <w:rPr>
                <w:rFonts w:ascii="Arial" w:hAnsi="Arial" w:cs="Arial"/>
                <w:sz w:val="20"/>
                <w:szCs w:val="20"/>
              </w:rPr>
              <w:t xml:space="preserve">ubdirección de </w:t>
            </w:r>
            <w:r w:rsidR="00237E74">
              <w:rPr>
                <w:rFonts w:ascii="Arial" w:hAnsi="Arial" w:cs="Arial"/>
                <w:sz w:val="20"/>
                <w:szCs w:val="20"/>
              </w:rPr>
              <w:t>T</w:t>
            </w:r>
            <w:r w:rsidR="00F55B3A" w:rsidRPr="00EB73AA">
              <w:rPr>
                <w:rFonts w:ascii="Arial" w:hAnsi="Arial" w:cs="Arial"/>
                <w:sz w:val="20"/>
                <w:szCs w:val="20"/>
              </w:rPr>
              <w:t>alento h</w:t>
            </w:r>
            <w:r w:rsidRPr="00EB73AA">
              <w:rPr>
                <w:rFonts w:ascii="Arial" w:hAnsi="Arial" w:cs="Arial"/>
                <w:sz w:val="20"/>
                <w:szCs w:val="20"/>
              </w:rPr>
              <w:t>umano.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Solicita recursos de sueldos a través de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Pr="00EB73AA">
              <w:rPr>
                <w:rFonts w:ascii="Arial" w:hAnsi="Arial" w:cs="Arial"/>
                <w:sz w:val="20"/>
                <w:szCs w:val="20"/>
              </w:rPr>
              <w:t>, elabora orden de pago presupuestal.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Verifica en el portal del banco que se haya</w:t>
            </w:r>
            <w:r w:rsidR="009B7AFC">
              <w:rPr>
                <w:rFonts w:ascii="Arial" w:hAnsi="Arial" w:cs="Arial"/>
                <w:sz w:val="20"/>
                <w:szCs w:val="20"/>
              </w:rPr>
              <w:t>n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asignado los recursos.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Sube el archivo plano al portal bancario y autoriza pago.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Verifica en el portal bancario si hay novedades de rechazo de pagos y según la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causal determina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si carga nuevamente la información manualmente.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En caso de rechazo por no inscripción de cuenta, solicita a Nomina copia de las certificaciones bancarias, las inscribe en el portal bancario y tramita validación.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662029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Verifica aceptación de la cuenta, carga los pagos manualmente, tramita autorización y verifica aplicación.</w:t>
            </w:r>
          </w:p>
          <w:p w:rsidR="00662029" w:rsidRPr="00496354" w:rsidRDefault="00662029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2029" w:rsidRPr="00EB73AA" w:rsidRDefault="005C7198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Genera reporte total de los pagos aplicados.</w:t>
            </w:r>
          </w:p>
          <w:p w:rsidR="00496354" w:rsidRPr="00496354" w:rsidRDefault="00496354" w:rsidP="00496354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74D07" w:rsidRPr="00182A33" w:rsidRDefault="00774D07" w:rsidP="004963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A33">
              <w:rPr>
                <w:rFonts w:ascii="Arial" w:hAnsi="Arial" w:cs="Arial"/>
                <w:b/>
                <w:sz w:val="20"/>
                <w:szCs w:val="20"/>
              </w:rPr>
              <w:t xml:space="preserve">Punto de control: </w:t>
            </w:r>
          </w:p>
          <w:p w:rsidR="008462E3" w:rsidRPr="00182A33" w:rsidRDefault="008462E3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 xml:space="preserve">Verificar la consistencia de información de nómina para solicitud de recursos, es decir se cruza el archivo plano con el archivo de </w:t>
            </w:r>
            <w:r w:rsidR="00496354" w:rsidRPr="00182A33">
              <w:rPr>
                <w:rFonts w:ascii="Arial" w:hAnsi="Arial" w:cs="Arial"/>
                <w:sz w:val="20"/>
                <w:szCs w:val="20"/>
              </w:rPr>
              <w:t>Excel</w:t>
            </w:r>
            <w:r w:rsidRPr="00182A33">
              <w:rPr>
                <w:rFonts w:ascii="Arial" w:hAnsi="Arial" w:cs="Arial"/>
                <w:sz w:val="20"/>
                <w:szCs w:val="20"/>
              </w:rPr>
              <w:t>, remitidos por talento humano.</w:t>
            </w:r>
          </w:p>
          <w:p w:rsidR="008462E3" w:rsidRPr="00496354" w:rsidRDefault="008462E3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969E9" w:rsidRPr="00182A33" w:rsidRDefault="008462E3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>Si existe alguna inconsistencia s</w:t>
            </w:r>
            <w:r w:rsidR="006C5956" w:rsidRPr="00182A33">
              <w:rPr>
                <w:rFonts w:ascii="Arial" w:hAnsi="Arial" w:cs="Arial"/>
                <w:sz w:val="20"/>
                <w:szCs w:val="20"/>
              </w:rPr>
              <w:t xml:space="preserve">e comunica vía correo electrónico </w:t>
            </w:r>
            <w:r w:rsidR="00EE42A5" w:rsidRPr="00182A33">
              <w:rPr>
                <w:rFonts w:ascii="Arial" w:hAnsi="Arial" w:cs="Arial"/>
                <w:sz w:val="20"/>
                <w:szCs w:val="20"/>
              </w:rPr>
              <w:t>a</w:t>
            </w:r>
            <w:r w:rsidR="00CD6209" w:rsidRPr="00182A33">
              <w:rPr>
                <w:rFonts w:ascii="Arial" w:hAnsi="Arial" w:cs="Arial"/>
                <w:sz w:val="20"/>
                <w:szCs w:val="20"/>
              </w:rPr>
              <w:t xml:space="preserve"> Talento </w:t>
            </w:r>
            <w:r w:rsidR="00EE42A5" w:rsidRPr="00182A33">
              <w:rPr>
                <w:rFonts w:ascii="Arial" w:hAnsi="Arial" w:cs="Arial"/>
                <w:sz w:val="20"/>
                <w:szCs w:val="20"/>
              </w:rPr>
              <w:t>Humano para su corrección y allegan a Tesorería un nuevo archivo.</w:t>
            </w:r>
          </w:p>
          <w:p w:rsidR="005A37AD" w:rsidRPr="00496354" w:rsidRDefault="005A37AD" w:rsidP="0049635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E42A5" w:rsidRPr="00182A33" w:rsidRDefault="00EE42A5" w:rsidP="00496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 xml:space="preserve">No se realizan pagos hasta que sean </w:t>
            </w:r>
            <w:r w:rsidR="00496354" w:rsidRPr="00182A33">
              <w:rPr>
                <w:rFonts w:ascii="Arial" w:hAnsi="Arial" w:cs="Arial"/>
                <w:sz w:val="20"/>
                <w:szCs w:val="20"/>
              </w:rPr>
              <w:t>subsanadas</w:t>
            </w:r>
            <w:r w:rsidRPr="00182A33">
              <w:rPr>
                <w:rFonts w:ascii="Arial" w:hAnsi="Arial" w:cs="Arial"/>
                <w:sz w:val="20"/>
                <w:szCs w:val="20"/>
              </w:rPr>
              <w:t xml:space="preserve"> las inconsistencias.</w:t>
            </w:r>
          </w:p>
          <w:p w:rsidR="00774D07" w:rsidRDefault="00774D07" w:rsidP="00196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569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6A95" w:rsidRDefault="00333195" w:rsidP="00496354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Reporte portal virtual- n</w:t>
            </w:r>
            <w:r w:rsidR="005C7198" w:rsidRPr="00EB73AA">
              <w:rPr>
                <w:rFonts w:ascii="Arial" w:hAnsi="Arial" w:cs="Arial"/>
                <w:sz w:val="20"/>
                <w:szCs w:val="20"/>
              </w:rPr>
              <w:t>omina.</w:t>
            </w:r>
          </w:p>
          <w:p w:rsidR="001203A2" w:rsidRPr="001203A2" w:rsidRDefault="001203A2" w:rsidP="001203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6354" w:rsidRPr="00EB73AA" w:rsidTr="00952721">
        <w:trPr>
          <w:trHeight w:val="1338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lastRenderedPageBreak/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Pagar</w:t>
            </w:r>
            <w:r w:rsidR="005C7198" w:rsidRPr="00EB73AA">
              <w:rPr>
                <w:rFonts w:ascii="Arial" w:hAnsi="Arial" w:cs="Arial"/>
                <w:sz w:val="20"/>
                <w:szCs w:val="20"/>
              </w:rPr>
              <w:t xml:space="preserve"> de  Impuestos</w:t>
            </w:r>
          </w:p>
        </w:tc>
        <w:tc>
          <w:tcPr>
            <w:tcW w:w="2898" w:type="pct"/>
            <w:vAlign w:val="center"/>
          </w:tcPr>
          <w:p w:rsidR="005C7198" w:rsidRDefault="005C7198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Genera reporte de las deducciones causadas en el </w:t>
            </w:r>
            <w:r w:rsidR="00460390" w:rsidRPr="00EB73AA">
              <w:rPr>
                <w:rFonts w:ascii="Arial" w:hAnsi="Arial" w:cs="Arial"/>
                <w:sz w:val="20"/>
                <w:szCs w:val="20"/>
              </w:rPr>
              <w:t xml:space="preserve">Sistema SIIF Nación,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mensualmente para </w:t>
            </w:r>
            <w:r w:rsidR="00527682" w:rsidRPr="00EB73AA">
              <w:rPr>
                <w:rFonts w:ascii="Arial" w:hAnsi="Arial" w:cs="Arial"/>
                <w:sz w:val="20"/>
                <w:szCs w:val="20"/>
              </w:rPr>
              <w:t>r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 xml:space="preserve">etención en la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fuente y </w:t>
            </w:r>
            <w:r w:rsidR="00527682" w:rsidRPr="00EB73AA">
              <w:rPr>
                <w:rFonts w:ascii="Arial" w:hAnsi="Arial" w:cs="Arial"/>
                <w:sz w:val="20"/>
                <w:szCs w:val="20"/>
              </w:rPr>
              <w:t>r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etención de IVA</w:t>
            </w:r>
            <w:r w:rsidR="00460390" w:rsidRPr="00EB73AA">
              <w:rPr>
                <w:rFonts w:ascii="Arial" w:hAnsi="Arial" w:cs="Arial"/>
                <w:sz w:val="20"/>
                <w:szCs w:val="20"/>
              </w:rPr>
              <w:t>,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bimensualmente para ICA y se remite a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Contabilidad para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su clasificación.</w:t>
            </w:r>
          </w:p>
          <w:p w:rsidR="00496354" w:rsidRPr="00496354" w:rsidRDefault="00496354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C7198" w:rsidRPr="00EB73AA" w:rsidRDefault="005C7198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Recibe reporte por parte de </w:t>
            </w:r>
            <w:r w:rsidR="0026602C" w:rsidRPr="00EB73AA">
              <w:rPr>
                <w:rFonts w:ascii="Arial" w:hAnsi="Arial" w:cs="Arial"/>
                <w:sz w:val="20"/>
                <w:szCs w:val="20"/>
              </w:rPr>
              <w:t>Contabilidad,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con los valores a pagar por cada impuesto y verifica la coherencia de la información y la fuente de recurso para proceder a la solicitud de pago.</w:t>
            </w:r>
          </w:p>
          <w:p w:rsidR="005C7198" w:rsidRPr="00496354" w:rsidRDefault="005C7198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C7198" w:rsidRPr="00EB73AA" w:rsidRDefault="005C7198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Elabora orden de pago por cada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impuesto y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realiza</w:t>
            </w:r>
            <w:r w:rsidR="007E579C" w:rsidRPr="00EB73AA">
              <w:rPr>
                <w:rFonts w:ascii="Arial" w:hAnsi="Arial" w:cs="Arial"/>
                <w:sz w:val="20"/>
                <w:szCs w:val="20"/>
              </w:rPr>
              <w:t xml:space="preserve"> el</w:t>
            </w:r>
            <w:r w:rsidR="00237E74">
              <w:rPr>
                <w:rFonts w:ascii="Arial" w:hAnsi="Arial" w:cs="Arial"/>
                <w:sz w:val="20"/>
                <w:szCs w:val="20"/>
              </w:rPr>
              <w:t xml:space="preserve"> pago mediante nota debito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694154" w:rsidRPr="00EB73AA">
              <w:rPr>
                <w:rFonts w:ascii="Arial" w:hAnsi="Arial" w:cs="Arial"/>
                <w:sz w:val="20"/>
                <w:szCs w:val="20"/>
              </w:rPr>
              <w:t>sucursal bancaria correspondiente</w:t>
            </w:r>
            <w:r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7198" w:rsidRPr="00496354" w:rsidRDefault="005C7198" w:rsidP="00766EE6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391751" w:rsidRPr="00EB73AA" w:rsidRDefault="00C56A95" w:rsidP="00766E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C56A95" w:rsidRPr="00EB73AA" w:rsidRDefault="00C56A95" w:rsidP="00766EE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Reporte SIIF </w:t>
            </w:r>
            <w:r w:rsidR="005C7198" w:rsidRPr="00EB73AA">
              <w:rPr>
                <w:rFonts w:ascii="Arial" w:hAnsi="Arial" w:cs="Arial"/>
                <w:sz w:val="20"/>
                <w:szCs w:val="20"/>
              </w:rPr>
              <w:t>de las deducciones causadas.</w:t>
            </w:r>
          </w:p>
        </w:tc>
      </w:tr>
      <w:tr w:rsidR="00496354" w:rsidRPr="00EB73AA" w:rsidTr="00952721">
        <w:trPr>
          <w:trHeight w:val="1429"/>
        </w:trPr>
        <w:tc>
          <w:tcPr>
            <w:tcW w:w="1057" w:type="pct"/>
            <w:vAlign w:val="center"/>
          </w:tcPr>
          <w:p w:rsidR="0003417F" w:rsidRPr="00EB73AA" w:rsidRDefault="00FC00A8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03417F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Pagar </w:t>
            </w:r>
            <w:r w:rsidR="0003417F" w:rsidRPr="00EB73AA">
              <w:rPr>
                <w:rFonts w:ascii="Arial" w:hAnsi="Arial" w:cs="Arial"/>
                <w:sz w:val="20"/>
                <w:szCs w:val="20"/>
              </w:rPr>
              <w:t xml:space="preserve"> PILA</w:t>
            </w:r>
          </w:p>
        </w:tc>
        <w:tc>
          <w:tcPr>
            <w:tcW w:w="2898" w:type="pct"/>
            <w:vAlign w:val="center"/>
          </w:tcPr>
          <w:p w:rsidR="0003417F" w:rsidRPr="00EB73AA" w:rsidRDefault="0003417F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Se cruza la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del informe de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nómina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con la PILA.</w:t>
            </w:r>
          </w:p>
          <w:p w:rsidR="0003417F" w:rsidRPr="00327F23" w:rsidRDefault="0003417F" w:rsidP="001961AF">
            <w:pPr>
              <w:rPr>
                <w:rFonts w:ascii="Arial" w:hAnsi="Arial" w:cs="Arial"/>
                <w:sz w:val="16"/>
                <w:szCs w:val="20"/>
              </w:rPr>
            </w:pPr>
          </w:p>
          <w:p w:rsidR="0003417F" w:rsidRPr="00EB73AA" w:rsidRDefault="0003417F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Realiza las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órdenes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pagos presupuestales de aportes patronales y se paga con valor neto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líquido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cero.</w:t>
            </w:r>
          </w:p>
          <w:p w:rsidR="0003417F" w:rsidRPr="00327F23" w:rsidRDefault="0003417F" w:rsidP="001961AF">
            <w:pPr>
              <w:rPr>
                <w:rFonts w:ascii="Arial" w:hAnsi="Arial" w:cs="Arial"/>
                <w:sz w:val="16"/>
                <w:szCs w:val="20"/>
              </w:rPr>
            </w:pPr>
          </w:p>
          <w:p w:rsidR="0003417F" w:rsidRPr="00EB73AA" w:rsidRDefault="0003417F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Con base a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las órdenes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pago presupuestal se realiza la or</w:t>
            </w:r>
            <w:r w:rsidR="0015595E" w:rsidRPr="00EB73AA">
              <w:rPr>
                <w:rFonts w:ascii="Arial" w:hAnsi="Arial" w:cs="Arial"/>
                <w:sz w:val="20"/>
                <w:szCs w:val="20"/>
              </w:rPr>
              <w:t>den de pago no presupuestal de d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educciones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de aportes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patronales.</w:t>
            </w:r>
          </w:p>
          <w:p w:rsidR="0003417F" w:rsidRPr="00327F23" w:rsidRDefault="0003417F" w:rsidP="001961AF">
            <w:pPr>
              <w:rPr>
                <w:rFonts w:ascii="Arial" w:hAnsi="Arial" w:cs="Arial"/>
                <w:sz w:val="16"/>
                <w:szCs w:val="20"/>
              </w:rPr>
            </w:pPr>
          </w:p>
          <w:p w:rsidR="0003417F" w:rsidRPr="00EB73AA" w:rsidRDefault="0003417F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Verifica que se hayan situado los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recursos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los aportes patronales en la cuenta bancaria, carga el pago y se autoriza mediante portal del operador.</w:t>
            </w:r>
          </w:p>
          <w:p w:rsidR="0003417F" w:rsidRPr="00327F23" w:rsidRDefault="0003417F" w:rsidP="001961AF">
            <w:pPr>
              <w:rPr>
                <w:rFonts w:ascii="Arial" w:hAnsi="Arial" w:cs="Arial"/>
                <w:sz w:val="16"/>
                <w:szCs w:val="20"/>
              </w:rPr>
            </w:pPr>
          </w:p>
          <w:p w:rsidR="0026602C" w:rsidRPr="00EB73AA" w:rsidRDefault="0003417F" w:rsidP="00196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03417F" w:rsidRPr="00EB73AA" w:rsidRDefault="0026602C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I</w:t>
            </w:r>
            <w:r w:rsidR="0003417F" w:rsidRPr="00EB73AA">
              <w:rPr>
                <w:rFonts w:ascii="Arial" w:hAnsi="Arial" w:cs="Arial"/>
                <w:sz w:val="20"/>
                <w:szCs w:val="20"/>
              </w:rPr>
              <w:t xml:space="preserve">nformación de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nómina</w:t>
            </w:r>
            <w:r w:rsidR="00F214C4" w:rsidRPr="00EB73AA">
              <w:rPr>
                <w:rFonts w:ascii="Arial" w:hAnsi="Arial" w:cs="Arial"/>
                <w:sz w:val="20"/>
                <w:szCs w:val="20"/>
              </w:rPr>
              <w:t xml:space="preserve"> (archivo </w:t>
            </w:r>
            <w:r w:rsidR="00327F23" w:rsidRPr="00EB73AA">
              <w:rPr>
                <w:rFonts w:ascii="Arial" w:hAnsi="Arial" w:cs="Arial"/>
                <w:sz w:val="20"/>
                <w:szCs w:val="20"/>
              </w:rPr>
              <w:t>Excel</w:t>
            </w:r>
            <w:r w:rsidR="0003417F" w:rsidRPr="00EB73A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96354" w:rsidRPr="00EB73AA" w:rsidTr="00952721">
        <w:trPr>
          <w:trHeight w:val="538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Pagar</w:t>
            </w:r>
            <w:r w:rsidR="0003417F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viáticos</w:t>
            </w:r>
            <w:r w:rsidR="0003417F" w:rsidRPr="00EB73AA">
              <w:rPr>
                <w:rFonts w:ascii="Arial" w:hAnsi="Arial" w:cs="Arial"/>
                <w:sz w:val="20"/>
                <w:szCs w:val="20"/>
              </w:rPr>
              <w:t>- funcionarios</w:t>
            </w:r>
          </w:p>
        </w:tc>
        <w:tc>
          <w:tcPr>
            <w:tcW w:w="2898" w:type="pct"/>
            <w:vAlign w:val="center"/>
          </w:tcPr>
          <w:p w:rsidR="00C56A95" w:rsidRPr="00182A33" w:rsidRDefault="0003417F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 xml:space="preserve">Recibe </w:t>
            </w:r>
            <w:r w:rsidR="00616F5A" w:rsidRPr="00182A33">
              <w:rPr>
                <w:rFonts w:ascii="Arial" w:hAnsi="Arial" w:cs="Arial"/>
                <w:sz w:val="20"/>
                <w:szCs w:val="20"/>
              </w:rPr>
              <w:t>soportes físicos</w:t>
            </w:r>
            <w:r w:rsidRPr="00182A33">
              <w:rPr>
                <w:rFonts w:ascii="Arial" w:hAnsi="Arial" w:cs="Arial"/>
                <w:sz w:val="20"/>
                <w:szCs w:val="20"/>
              </w:rPr>
              <w:t xml:space="preserve"> y archivo en </w:t>
            </w:r>
            <w:r w:rsidR="00327F23" w:rsidRPr="00182A33">
              <w:rPr>
                <w:rFonts w:ascii="Arial" w:hAnsi="Arial" w:cs="Arial"/>
                <w:sz w:val="20"/>
                <w:szCs w:val="20"/>
              </w:rPr>
              <w:t>Excel</w:t>
            </w:r>
            <w:r w:rsidRPr="00182A3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453CAB" w:rsidRPr="00182A33">
              <w:rPr>
                <w:rFonts w:ascii="Arial" w:hAnsi="Arial" w:cs="Arial"/>
                <w:sz w:val="20"/>
                <w:szCs w:val="20"/>
              </w:rPr>
              <w:t>viáticos</w:t>
            </w:r>
            <w:r w:rsidRPr="00182A33">
              <w:rPr>
                <w:rFonts w:ascii="Arial" w:hAnsi="Arial" w:cs="Arial"/>
                <w:sz w:val="20"/>
                <w:szCs w:val="20"/>
              </w:rPr>
              <w:t>, revisa coherencia de los valores totales con los registros de la obligación presupuestal para solicitar los recursos requeridos.</w:t>
            </w:r>
          </w:p>
          <w:p w:rsidR="0003417F" w:rsidRPr="00327F23" w:rsidRDefault="0003417F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3417F" w:rsidRPr="00182A33" w:rsidRDefault="0003417F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 xml:space="preserve">Organiza y ajusta el archivo </w:t>
            </w:r>
            <w:r w:rsidR="00327F23" w:rsidRPr="00182A33">
              <w:rPr>
                <w:rFonts w:ascii="Arial" w:hAnsi="Arial" w:cs="Arial"/>
                <w:sz w:val="20"/>
                <w:szCs w:val="20"/>
              </w:rPr>
              <w:t>Excel</w:t>
            </w:r>
            <w:r w:rsidRPr="00182A33">
              <w:rPr>
                <w:rFonts w:ascii="Arial" w:hAnsi="Arial" w:cs="Arial"/>
                <w:sz w:val="20"/>
                <w:szCs w:val="20"/>
              </w:rPr>
              <w:t xml:space="preserve"> para construir el archivo plano según la </w:t>
            </w:r>
            <w:r w:rsidR="00D550DE" w:rsidRPr="00182A33">
              <w:rPr>
                <w:rFonts w:ascii="Arial" w:hAnsi="Arial" w:cs="Arial"/>
                <w:sz w:val="20"/>
                <w:szCs w:val="20"/>
              </w:rPr>
              <w:t>estructura especificada</w:t>
            </w:r>
            <w:r w:rsidRPr="00182A33">
              <w:rPr>
                <w:rFonts w:ascii="Arial" w:hAnsi="Arial" w:cs="Arial"/>
                <w:sz w:val="20"/>
                <w:szCs w:val="20"/>
              </w:rPr>
              <w:t xml:space="preserve"> por el banco.</w:t>
            </w:r>
          </w:p>
          <w:p w:rsidR="0003417F" w:rsidRDefault="0003417F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37E74" w:rsidRPr="00327F23" w:rsidRDefault="00237E74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3417F" w:rsidRPr="00182A33" w:rsidRDefault="0003417F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 xml:space="preserve">Carga el archivo plano para autorización y </w:t>
            </w:r>
            <w:r w:rsidR="00D550DE" w:rsidRPr="00182A33">
              <w:rPr>
                <w:rFonts w:ascii="Arial" w:hAnsi="Arial" w:cs="Arial"/>
                <w:sz w:val="20"/>
                <w:szCs w:val="20"/>
              </w:rPr>
              <w:t>pago en</w:t>
            </w:r>
            <w:r w:rsidRPr="00182A33">
              <w:rPr>
                <w:rFonts w:ascii="Arial" w:hAnsi="Arial" w:cs="Arial"/>
                <w:sz w:val="20"/>
                <w:szCs w:val="20"/>
              </w:rPr>
              <w:t xml:space="preserve"> la sucursal virtual.</w:t>
            </w:r>
          </w:p>
          <w:p w:rsidR="0003417F" w:rsidRPr="00327F23" w:rsidRDefault="0003417F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3417F" w:rsidRPr="00182A33" w:rsidRDefault="0003417F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>Verifica que la transacción haya sido efectiva y que no se hayan generado rechazos de pago.</w:t>
            </w:r>
          </w:p>
          <w:p w:rsidR="0003417F" w:rsidRPr="00327F23" w:rsidRDefault="0003417F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03417F" w:rsidRPr="00182A33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>En caso de pagos rechazados se verifica y corrige la información y carga pagos individualmente.</w:t>
            </w:r>
          </w:p>
          <w:p w:rsidR="0032657D" w:rsidRPr="00327F23" w:rsidRDefault="0032657D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32657D" w:rsidRPr="00952FC1" w:rsidRDefault="0032657D" w:rsidP="00327F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2FC1">
              <w:rPr>
                <w:rFonts w:ascii="Arial" w:hAnsi="Arial" w:cs="Arial"/>
                <w:b/>
                <w:sz w:val="20"/>
                <w:szCs w:val="20"/>
              </w:rPr>
              <w:t>Punto de control:</w:t>
            </w:r>
          </w:p>
          <w:p w:rsidR="005A37AD" w:rsidRPr="00327F23" w:rsidRDefault="005A37AD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E42A5" w:rsidRDefault="00EE42A5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>Verificar que las cuentas bancarias y valores correspondan a cada funcionario.</w:t>
            </w:r>
          </w:p>
          <w:p w:rsidR="00327F23" w:rsidRPr="00327F23" w:rsidRDefault="00327F23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891864" w:rsidRPr="00182A33" w:rsidRDefault="00891864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>Para este efecto en el portal bancario se verifica que el pago haya sido aplicado con éxito. Esta actividad la realiza el Tesorero quien tiene el perfil y permisos para ingresar al portal bancario.</w:t>
            </w:r>
          </w:p>
          <w:p w:rsidR="00E310D1" w:rsidRDefault="00077A80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1203A2" w:rsidRPr="00766EE6" w:rsidRDefault="001203A2" w:rsidP="001961AF">
            <w:pPr>
              <w:rPr>
                <w:rFonts w:ascii="Arial" w:hAnsi="Arial" w:cs="Arial"/>
                <w:sz w:val="16"/>
                <w:szCs w:val="20"/>
              </w:rPr>
            </w:pPr>
          </w:p>
          <w:p w:rsidR="001203A2" w:rsidRPr="00182A33" w:rsidRDefault="00E310D1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E310D1" w:rsidRPr="00182A33" w:rsidRDefault="000626C7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>I</w:t>
            </w:r>
            <w:r w:rsidR="00E310D1" w:rsidRPr="00182A33">
              <w:rPr>
                <w:rFonts w:ascii="Arial" w:hAnsi="Arial" w:cs="Arial"/>
                <w:sz w:val="20"/>
                <w:szCs w:val="20"/>
              </w:rPr>
              <w:t xml:space="preserve">nformación de </w:t>
            </w:r>
            <w:r w:rsidR="00453CAB" w:rsidRPr="00182A33">
              <w:rPr>
                <w:rFonts w:ascii="Arial" w:hAnsi="Arial" w:cs="Arial"/>
                <w:sz w:val="20"/>
                <w:szCs w:val="20"/>
              </w:rPr>
              <w:t>nómina</w:t>
            </w:r>
            <w:r w:rsidR="00010DB5" w:rsidRPr="00182A33">
              <w:rPr>
                <w:rFonts w:ascii="Arial" w:hAnsi="Arial" w:cs="Arial"/>
                <w:sz w:val="20"/>
                <w:szCs w:val="20"/>
              </w:rPr>
              <w:t xml:space="preserve"> (archivo </w:t>
            </w:r>
            <w:r w:rsidR="00327F23" w:rsidRPr="00182A33">
              <w:rPr>
                <w:rFonts w:ascii="Arial" w:hAnsi="Arial" w:cs="Arial"/>
                <w:sz w:val="20"/>
                <w:szCs w:val="20"/>
              </w:rPr>
              <w:t>Excel</w:t>
            </w:r>
            <w:r w:rsidR="00E310D1" w:rsidRPr="00182A3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96354" w:rsidRPr="00EB73AA" w:rsidTr="00952721">
        <w:trPr>
          <w:trHeight w:val="11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lastRenderedPageBreak/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Pagar</w:t>
            </w:r>
            <w:r w:rsidR="002406A4" w:rsidRPr="00EB73AA">
              <w:rPr>
                <w:rFonts w:ascii="Arial" w:hAnsi="Arial" w:cs="Arial"/>
                <w:sz w:val="20"/>
                <w:szCs w:val="20"/>
              </w:rPr>
              <w:t xml:space="preserve"> embargos</w:t>
            </w:r>
          </w:p>
        </w:tc>
        <w:tc>
          <w:tcPr>
            <w:tcW w:w="2898" w:type="pct"/>
            <w:vAlign w:val="center"/>
          </w:tcPr>
          <w:p w:rsidR="00C56A95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Recibe oficio </w:t>
            </w:r>
            <w:r w:rsidR="00237E74">
              <w:rPr>
                <w:rFonts w:ascii="Arial" w:hAnsi="Arial" w:cs="Arial"/>
                <w:sz w:val="20"/>
                <w:szCs w:val="20"/>
              </w:rPr>
              <w:t xml:space="preserve">del juzgado comunicando embargo se remite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información a </w:t>
            </w:r>
            <w:r w:rsidR="00237E74">
              <w:rPr>
                <w:rFonts w:ascii="Arial" w:hAnsi="Arial" w:cs="Arial"/>
                <w:sz w:val="20"/>
                <w:szCs w:val="20"/>
              </w:rPr>
              <w:t xml:space="preserve">la Subdirección de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Talento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Humano, y</w:t>
            </w:r>
            <w:r w:rsidR="00237E74">
              <w:rPr>
                <w:rFonts w:ascii="Arial" w:hAnsi="Arial" w:cs="Arial"/>
                <w:sz w:val="20"/>
                <w:szCs w:val="20"/>
              </w:rPr>
              <w:t xml:space="preserve"> solicita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información sobre fecha a partir de la cual se </w:t>
            </w:r>
            <w:r w:rsidR="00237E74">
              <w:rPr>
                <w:rFonts w:ascii="Arial" w:hAnsi="Arial" w:cs="Arial"/>
                <w:sz w:val="20"/>
                <w:szCs w:val="20"/>
              </w:rPr>
              <w:t>comenzará a descontar el embargo se c</w:t>
            </w:r>
            <w:r w:rsidRPr="00EB73AA">
              <w:rPr>
                <w:rFonts w:ascii="Arial" w:hAnsi="Arial" w:cs="Arial"/>
                <w:sz w:val="20"/>
                <w:szCs w:val="20"/>
              </w:rPr>
              <w:t>omunica al juzgado lo informado por Talento Humano.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310D1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Realiza pago de embargos a cuentas en bancos diferentes al Banco Agrario.</w:t>
            </w:r>
          </w:p>
          <w:p w:rsidR="00E310D1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Recibe archivo plano de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nómina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y cruza la información con el informe de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nómina</w:t>
            </w:r>
            <w:r w:rsidRPr="00EB73AA">
              <w:rPr>
                <w:rFonts w:ascii="Arial" w:hAnsi="Arial" w:cs="Arial"/>
                <w:sz w:val="20"/>
                <w:szCs w:val="20"/>
              </w:rPr>
              <w:t>. Y se realiza los ajustes pertinentes al archivo plano y se graba en CD.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310D1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Se verifica la estructura del archivo plano, en la sucursal del Banco Agrario, y determina valor definitivo a pagar.</w:t>
            </w:r>
          </w:p>
          <w:p w:rsidR="00766EE6" w:rsidRPr="00766EE6" w:rsidRDefault="00766EE6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310D1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En caso de inconsistencias en el archivo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plano, se corrige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la información y se vuelve a validar.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310D1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Se tramita cheque de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gerencia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y se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realiza respectivo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el pago.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24313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0D1" w:rsidRPr="00EB73AA" w:rsidRDefault="00524313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I</w:t>
            </w:r>
            <w:r w:rsidR="00E310D1" w:rsidRPr="00EB73AA">
              <w:rPr>
                <w:rFonts w:ascii="Arial" w:hAnsi="Arial" w:cs="Arial"/>
                <w:sz w:val="20"/>
                <w:szCs w:val="20"/>
              </w:rPr>
              <w:t xml:space="preserve">nformación de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nómina</w:t>
            </w:r>
            <w:r w:rsidR="00F214C4" w:rsidRPr="00EB73AA">
              <w:rPr>
                <w:rFonts w:ascii="Arial" w:hAnsi="Arial" w:cs="Arial"/>
                <w:sz w:val="20"/>
                <w:szCs w:val="20"/>
              </w:rPr>
              <w:t xml:space="preserve"> (archivo </w:t>
            </w:r>
            <w:r w:rsidR="00766EE6" w:rsidRPr="00EB73AA">
              <w:rPr>
                <w:rFonts w:ascii="Arial" w:hAnsi="Arial" w:cs="Arial"/>
                <w:sz w:val="20"/>
                <w:szCs w:val="20"/>
              </w:rPr>
              <w:t>Excel</w:t>
            </w:r>
            <w:r w:rsidR="00E310D1" w:rsidRPr="00EB73A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96354" w:rsidRPr="00EB73AA" w:rsidTr="00952721">
        <w:trPr>
          <w:trHeight w:val="59"/>
        </w:trPr>
        <w:tc>
          <w:tcPr>
            <w:tcW w:w="1057" w:type="pct"/>
            <w:vAlign w:val="center"/>
          </w:tcPr>
          <w:p w:rsidR="00C56A95" w:rsidRPr="00EB73AA" w:rsidRDefault="00677F5A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Cargar</w:t>
            </w:r>
            <w:r w:rsidR="00E310D1" w:rsidRPr="00EB73AA">
              <w:rPr>
                <w:rFonts w:ascii="Arial" w:hAnsi="Arial" w:cs="Arial"/>
                <w:sz w:val="20"/>
                <w:szCs w:val="20"/>
              </w:rPr>
              <w:t xml:space="preserve"> extracto de las cuentas bancarias de </w:t>
            </w:r>
            <w:r w:rsidR="00616F5A" w:rsidRPr="00EB73AA">
              <w:rPr>
                <w:rFonts w:ascii="Arial" w:hAnsi="Arial" w:cs="Arial"/>
                <w:sz w:val="20"/>
                <w:szCs w:val="20"/>
              </w:rPr>
              <w:t>tesorería.</w:t>
            </w:r>
          </w:p>
        </w:tc>
        <w:tc>
          <w:tcPr>
            <w:tcW w:w="2898" w:type="pct"/>
            <w:vAlign w:val="center"/>
          </w:tcPr>
          <w:p w:rsidR="00C56A95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Solicita al banco los extractos bancarios de las cuentas y verifica la información.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310D1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Carga cada extracto en el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310D1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Contabiliza los extractos en el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0A74" w:rsidRPr="00766EE6" w:rsidRDefault="00DA0A74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DA0A74" w:rsidRPr="00182A33" w:rsidRDefault="00DA0A74" w:rsidP="00327F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A33">
              <w:rPr>
                <w:rFonts w:ascii="Arial" w:hAnsi="Arial" w:cs="Arial"/>
                <w:b/>
                <w:sz w:val="20"/>
                <w:szCs w:val="20"/>
              </w:rPr>
              <w:t>Punto de control:</w:t>
            </w:r>
          </w:p>
          <w:p w:rsidR="00EE42A5" w:rsidRPr="00EB73AA" w:rsidRDefault="00EE42A5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A33">
              <w:rPr>
                <w:rFonts w:ascii="Arial" w:hAnsi="Arial" w:cs="Arial"/>
                <w:sz w:val="20"/>
                <w:szCs w:val="20"/>
              </w:rPr>
              <w:t xml:space="preserve">Se verifica con el grupo de Convenios que los recaudos recibidos correspondan a las cuentas de cobro </w:t>
            </w:r>
            <w:r w:rsidR="00891864" w:rsidRPr="00182A33">
              <w:rPr>
                <w:rFonts w:ascii="Arial" w:hAnsi="Arial" w:cs="Arial"/>
                <w:sz w:val="20"/>
                <w:szCs w:val="20"/>
              </w:rPr>
              <w:t xml:space="preserve">efectuadas </w:t>
            </w:r>
            <w:r w:rsidRPr="00182A33">
              <w:rPr>
                <w:rFonts w:ascii="Arial" w:hAnsi="Arial" w:cs="Arial"/>
                <w:sz w:val="20"/>
                <w:szCs w:val="20"/>
              </w:rPr>
              <w:t>a las diferentes entidades.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03537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E310D1" w:rsidRPr="00EB73AA" w:rsidRDefault="00103537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E</w:t>
            </w:r>
            <w:r w:rsidR="00E310D1" w:rsidRPr="00EB73AA">
              <w:rPr>
                <w:rFonts w:ascii="Arial" w:hAnsi="Arial" w:cs="Arial"/>
                <w:sz w:val="20"/>
                <w:szCs w:val="20"/>
              </w:rPr>
              <w:t>xtractos bancarios (archivo Excel).</w:t>
            </w:r>
          </w:p>
        </w:tc>
      </w:tr>
      <w:tr w:rsidR="00496354" w:rsidRPr="00EB73AA" w:rsidTr="00952721">
        <w:trPr>
          <w:trHeight w:val="59"/>
        </w:trPr>
        <w:tc>
          <w:tcPr>
            <w:tcW w:w="1057" w:type="pct"/>
            <w:vAlign w:val="center"/>
          </w:tcPr>
          <w:p w:rsidR="00C56A95" w:rsidRPr="00EB73AA" w:rsidRDefault="00677F5A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F72170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E310D1" w:rsidRPr="00EB73AA">
              <w:rPr>
                <w:rFonts w:ascii="Arial" w:hAnsi="Arial" w:cs="Arial"/>
                <w:sz w:val="20"/>
                <w:szCs w:val="20"/>
              </w:rPr>
              <w:t>Reintegros presupuestales</w:t>
            </w:r>
          </w:p>
        </w:tc>
        <w:tc>
          <w:tcPr>
            <w:tcW w:w="2898" w:type="pct"/>
            <w:vAlign w:val="center"/>
          </w:tcPr>
          <w:p w:rsidR="00C56A95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Descarga reporte de</w:t>
            </w:r>
            <w:r w:rsidR="00F214C4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3AA">
              <w:rPr>
                <w:rFonts w:ascii="Arial" w:hAnsi="Arial" w:cs="Arial"/>
                <w:sz w:val="20"/>
                <w:szCs w:val="20"/>
              </w:rPr>
              <w:t>l</w:t>
            </w:r>
            <w:r w:rsidR="00F214C4" w:rsidRPr="00EB73AA">
              <w:rPr>
                <w:rFonts w:ascii="Arial" w:hAnsi="Arial" w:cs="Arial"/>
                <w:sz w:val="20"/>
                <w:szCs w:val="20"/>
              </w:rPr>
              <w:t>os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saldos p</w:t>
            </w:r>
            <w:r w:rsidR="00EA66EF" w:rsidRPr="00EB73AA">
              <w:rPr>
                <w:rFonts w:ascii="Arial" w:hAnsi="Arial" w:cs="Arial"/>
                <w:sz w:val="20"/>
                <w:szCs w:val="20"/>
              </w:rPr>
              <w:t>or imputar del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="00EA66EF" w:rsidRPr="00EB73AA">
              <w:rPr>
                <w:rFonts w:ascii="Arial" w:hAnsi="Arial" w:cs="Arial"/>
                <w:sz w:val="20"/>
                <w:szCs w:val="20"/>
              </w:rPr>
              <w:t xml:space="preserve"> y revisa</w:t>
            </w:r>
            <w:r w:rsidR="00F72170">
              <w:rPr>
                <w:rFonts w:ascii="Arial" w:hAnsi="Arial" w:cs="Arial"/>
                <w:sz w:val="20"/>
                <w:szCs w:val="20"/>
              </w:rPr>
              <w:t>r</w:t>
            </w:r>
            <w:r w:rsidR="00EA66EF" w:rsidRPr="00EB73AA">
              <w:rPr>
                <w:rFonts w:ascii="Arial" w:hAnsi="Arial" w:cs="Arial"/>
                <w:sz w:val="20"/>
                <w:szCs w:val="20"/>
              </w:rPr>
              <w:t xml:space="preserve"> qué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documentos en cuentas Banco de la Republica 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>están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pendientes por clasificar (cuentas, terceros, conceptos de consignación).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E310D1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Genera documento de reintegro presupuestal en el SIIF 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Nación </w:t>
            </w:r>
            <w:r w:rsidRPr="00EB73AA">
              <w:rPr>
                <w:rFonts w:ascii="Arial" w:hAnsi="Arial" w:cs="Arial"/>
                <w:sz w:val="20"/>
                <w:szCs w:val="20"/>
              </w:rPr>
              <w:t>y lo imprime con los soportes.</w:t>
            </w:r>
          </w:p>
          <w:p w:rsidR="00E310D1" w:rsidRPr="00766EE6" w:rsidRDefault="00E310D1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971613" w:rsidRPr="00EB73AA" w:rsidRDefault="00E310D1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E310D1" w:rsidRPr="00EB73AA" w:rsidRDefault="00971613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</w:t>
            </w:r>
            <w:r w:rsidR="00E310D1" w:rsidRPr="00EB73AA">
              <w:rPr>
                <w:rFonts w:ascii="Arial" w:hAnsi="Arial" w:cs="Arial"/>
                <w:sz w:val="20"/>
                <w:szCs w:val="20"/>
              </w:rPr>
              <w:t>eporte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="00E310D1" w:rsidRPr="00EB73AA">
              <w:rPr>
                <w:rFonts w:ascii="Arial" w:hAnsi="Arial" w:cs="Arial"/>
                <w:sz w:val="20"/>
                <w:szCs w:val="20"/>
              </w:rPr>
              <w:t>, copia consignaciones.</w:t>
            </w:r>
          </w:p>
        </w:tc>
      </w:tr>
      <w:tr w:rsidR="00496354" w:rsidRPr="00EB73AA" w:rsidTr="00952721">
        <w:trPr>
          <w:trHeight w:val="726"/>
        </w:trPr>
        <w:tc>
          <w:tcPr>
            <w:tcW w:w="1057" w:type="pct"/>
            <w:vAlign w:val="center"/>
          </w:tcPr>
          <w:p w:rsidR="00C56A95" w:rsidRPr="00EB73AA" w:rsidRDefault="00677F5A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r w:rsidR="003628E0" w:rsidRPr="00EB73AA">
              <w:rPr>
                <w:rFonts w:ascii="Arial" w:hAnsi="Arial" w:cs="Arial"/>
                <w:sz w:val="20"/>
                <w:szCs w:val="20"/>
              </w:rPr>
              <w:t>Informes</w:t>
            </w:r>
          </w:p>
        </w:tc>
        <w:tc>
          <w:tcPr>
            <w:tcW w:w="2898" w:type="pct"/>
            <w:vAlign w:val="center"/>
          </w:tcPr>
          <w:p w:rsidR="00C56A95" w:rsidRPr="00EB73AA" w:rsidRDefault="003628E0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Elabora informes </w:t>
            </w:r>
            <w:r w:rsidR="00237E74">
              <w:rPr>
                <w:rFonts w:ascii="Arial" w:hAnsi="Arial" w:cs="Arial"/>
                <w:sz w:val="20"/>
                <w:szCs w:val="20"/>
              </w:rPr>
              <w:t xml:space="preserve">de pagos 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quincenales de </w:t>
            </w:r>
            <w:r w:rsidR="00237E74">
              <w:rPr>
                <w:rFonts w:ascii="Arial" w:hAnsi="Arial" w:cs="Arial"/>
                <w:sz w:val="20"/>
                <w:szCs w:val="20"/>
              </w:rPr>
              <w:t>autocontrol.</w:t>
            </w:r>
          </w:p>
          <w:p w:rsidR="003628E0" w:rsidRPr="00766EE6" w:rsidRDefault="003628E0" w:rsidP="00327F2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66195D" w:rsidRPr="00EB73AA" w:rsidRDefault="003628E0" w:rsidP="00327F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3628E0" w:rsidRPr="00EB73AA" w:rsidRDefault="0066195D" w:rsidP="00327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</w:t>
            </w:r>
            <w:r w:rsidR="003628E0" w:rsidRPr="00EB73AA">
              <w:rPr>
                <w:rFonts w:ascii="Arial" w:hAnsi="Arial" w:cs="Arial"/>
                <w:sz w:val="20"/>
                <w:szCs w:val="20"/>
              </w:rPr>
              <w:t>eporte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  <w:r w:rsidR="003628E0" w:rsidRPr="00EB73AA">
              <w:rPr>
                <w:rFonts w:ascii="Arial" w:hAnsi="Arial" w:cs="Arial"/>
                <w:sz w:val="20"/>
                <w:szCs w:val="20"/>
              </w:rPr>
              <w:t>, oficios, memorandos etc.</w:t>
            </w:r>
          </w:p>
        </w:tc>
      </w:tr>
      <w:tr w:rsidR="00496354" w:rsidRPr="00EB73AA" w:rsidTr="00952721">
        <w:trPr>
          <w:trHeight w:val="59"/>
        </w:trPr>
        <w:tc>
          <w:tcPr>
            <w:tcW w:w="1057" w:type="pct"/>
            <w:vAlign w:val="center"/>
          </w:tcPr>
          <w:p w:rsidR="00C56A95" w:rsidRPr="00EB73AA" w:rsidRDefault="00C56A95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Archivar</w:t>
            </w:r>
          </w:p>
        </w:tc>
        <w:tc>
          <w:tcPr>
            <w:tcW w:w="2898" w:type="pct"/>
            <w:vAlign w:val="center"/>
          </w:tcPr>
          <w:p w:rsidR="00C56A95" w:rsidRPr="00EB73AA" w:rsidRDefault="00453CAB" w:rsidP="00766EE6">
            <w:pPr>
              <w:tabs>
                <w:tab w:val="left" w:pos="2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Reúne</w:t>
            </w:r>
            <w:r w:rsidR="003628E0" w:rsidRPr="00EB73AA">
              <w:rPr>
                <w:rFonts w:ascii="Arial" w:hAnsi="Arial" w:cs="Arial"/>
                <w:sz w:val="20"/>
                <w:szCs w:val="20"/>
              </w:rPr>
              <w:t xml:space="preserve">, verifica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y organiza</w:t>
            </w:r>
            <w:r w:rsidR="003628E0" w:rsidRPr="00EB73AA">
              <w:rPr>
                <w:rFonts w:ascii="Arial" w:hAnsi="Arial" w:cs="Arial"/>
                <w:sz w:val="20"/>
                <w:szCs w:val="20"/>
              </w:rPr>
              <w:t xml:space="preserve"> los documentos soportes de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cada pago</w:t>
            </w:r>
            <w:r w:rsidR="00C56A95" w:rsidRPr="00EB73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53CAB" w:rsidRPr="00327F23" w:rsidRDefault="00453CAB" w:rsidP="00766EE6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453CAB" w:rsidRPr="00EB73AA" w:rsidRDefault="00453CAB" w:rsidP="00766EE6">
            <w:pPr>
              <w:tabs>
                <w:tab w:val="left" w:pos="2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lastRenderedPageBreak/>
              <w:t>Realiza acta de entrega de documentación y realiza entrega fís</w:t>
            </w:r>
            <w:r w:rsidR="00970360" w:rsidRPr="00EB73AA">
              <w:rPr>
                <w:rFonts w:ascii="Arial" w:hAnsi="Arial" w:cs="Arial"/>
                <w:sz w:val="20"/>
                <w:szCs w:val="20"/>
              </w:rPr>
              <w:t xml:space="preserve">ica al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archivo de</w:t>
            </w:r>
            <w:r w:rsidR="00970360" w:rsidRPr="00EB73AA">
              <w:rPr>
                <w:rFonts w:ascii="Arial" w:hAnsi="Arial" w:cs="Arial"/>
                <w:sz w:val="20"/>
                <w:szCs w:val="20"/>
              </w:rPr>
              <w:t xml:space="preserve"> gestión del Á</w:t>
            </w:r>
            <w:r w:rsidRPr="00EB73AA">
              <w:rPr>
                <w:rFonts w:ascii="Arial" w:hAnsi="Arial" w:cs="Arial"/>
                <w:sz w:val="20"/>
                <w:szCs w:val="20"/>
              </w:rPr>
              <w:t>rea Financiera.</w:t>
            </w:r>
          </w:p>
          <w:p w:rsidR="00453CAB" w:rsidRPr="00766EE6" w:rsidRDefault="00453CAB" w:rsidP="00766EE6">
            <w:pPr>
              <w:tabs>
                <w:tab w:val="left" w:pos="267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761F7" w:rsidRPr="00EB73AA" w:rsidRDefault="00C56A95" w:rsidP="00766EE6">
            <w:pPr>
              <w:tabs>
                <w:tab w:val="left" w:pos="2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b/>
                <w:sz w:val="20"/>
                <w:szCs w:val="20"/>
              </w:rPr>
              <w:t>Documento soporte:</w:t>
            </w:r>
          </w:p>
          <w:p w:rsidR="00C56A95" w:rsidRPr="00EB73AA" w:rsidRDefault="00453CAB" w:rsidP="00766EE6">
            <w:pPr>
              <w:tabs>
                <w:tab w:val="left" w:pos="2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Orden de pago, cuenta por pagar, obligación, compromiso, facturas, cuentas de cobro, informe supervisores, aportes de salud y pensión.</w:t>
            </w:r>
          </w:p>
        </w:tc>
      </w:tr>
      <w:tr w:rsidR="00496354" w:rsidRPr="00EB73AA" w:rsidTr="00952721">
        <w:trPr>
          <w:trHeight w:val="553"/>
        </w:trPr>
        <w:tc>
          <w:tcPr>
            <w:tcW w:w="1057" w:type="pct"/>
            <w:vAlign w:val="center"/>
          </w:tcPr>
          <w:p w:rsidR="00C56A95" w:rsidRPr="00EB73AA" w:rsidRDefault="00C62780" w:rsidP="001961AF">
            <w:pPr>
              <w:rPr>
                <w:rFonts w:ascii="Arial" w:hAnsi="Arial" w:cs="Arial"/>
                <w:sz w:val="20"/>
                <w:szCs w:val="20"/>
              </w:rPr>
            </w:pPr>
            <w:r w:rsidRPr="00C62780">
              <w:rPr>
                <w:rFonts w:ascii="Arial" w:hAnsi="Arial" w:cs="Arial"/>
                <w:sz w:val="20"/>
                <w:szCs w:val="20"/>
              </w:rPr>
              <w:lastRenderedPageBreak/>
              <w:t>Profesional Universitario de Tesorería</w:t>
            </w:r>
          </w:p>
        </w:tc>
        <w:tc>
          <w:tcPr>
            <w:tcW w:w="1046" w:type="pct"/>
            <w:gridSpan w:val="3"/>
            <w:vAlign w:val="center"/>
          </w:tcPr>
          <w:p w:rsidR="00C56A95" w:rsidRPr="00EB73AA" w:rsidRDefault="00852ED5" w:rsidP="00525918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Certificar los</w:t>
            </w:r>
            <w:r w:rsidR="00453CAB" w:rsidRPr="00EB73AA">
              <w:rPr>
                <w:rFonts w:ascii="Arial" w:hAnsi="Arial" w:cs="Arial"/>
                <w:sz w:val="20"/>
                <w:szCs w:val="20"/>
              </w:rPr>
              <w:t xml:space="preserve"> ingresos y retenciones y soportes de pago.</w:t>
            </w:r>
          </w:p>
        </w:tc>
        <w:tc>
          <w:tcPr>
            <w:tcW w:w="2898" w:type="pct"/>
            <w:vAlign w:val="center"/>
          </w:tcPr>
          <w:p w:rsidR="00C56A95" w:rsidRPr="00EB73AA" w:rsidRDefault="00453CAB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Genera certificaciones de ingresos y retenciones y soportes de pago en el SIIF 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Nación </w:t>
            </w:r>
            <w:r w:rsidRPr="00EB73AA">
              <w:rPr>
                <w:rFonts w:ascii="Arial" w:hAnsi="Arial" w:cs="Arial"/>
                <w:sz w:val="20"/>
                <w:szCs w:val="20"/>
              </w:rPr>
              <w:t>de acuerdo a los requerimientos de proveedores, y remite al solicitante.</w:t>
            </w:r>
          </w:p>
          <w:p w:rsidR="00453CAB" w:rsidRPr="00327F23" w:rsidRDefault="00453CAB" w:rsidP="00766EE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C56A95" w:rsidRPr="00EB73AA" w:rsidRDefault="00E03142" w:rsidP="00766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soporte: reporte SIIF Nación.</w:t>
            </w:r>
          </w:p>
        </w:tc>
      </w:tr>
    </w:tbl>
    <w:p w:rsidR="00766EE6" w:rsidRDefault="00766EE6"/>
    <w:tbl>
      <w:tblPr>
        <w:tblStyle w:val="Tablaconcuadrcula"/>
        <w:tblW w:w="579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230"/>
      </w:tblGrid>
      <w:tr w:rsidR="00327F23" w:rsidRPr="00EB73AA" w:rsidTr="00766EE6">
        <w:trPr>
          <w:trHeight w:val="322"/>
        </w:trPr>
        <w:tc>
          <w:tcPr>
            <w:tcW w:w="5000" w:type="pct"/>
            <w:vAlign w:val="center"/>
          </w:tcPr>
          <w:p w:rsidR="00327F23" w:rsidRPr="00327F23" w:rsidRDefault="00327F23" w:rsidP="00327F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7F23">
              <w:rPr>
                <w:rFonts w:ascii="Arial" w:hAnsi="Arial" w:cs="Arial"/>
                <w:b/>
                <w:sz w:val="20"/>
                <w:szCs w:val="20"/>
              </w:rPr>
              <w:t>FORMATOS Y REGISTROS</w:t>
            </w:r>
          </w:p>
        </w:tc>
      </w:tr>
      <w:tr w:rsidR="00327F23" w:rsidRPr="00EB73AA" w:rsidTr="00766EE6">
        <w:trPr>
          <w:trHeight w:val="4098"/>
        </w:trPr>
        <w:tc>
          <w:tcPr>
            <w:tcW w:w="5000" w:type="pct"/>
            <w:vAlign w:val="center"/>
          </w:tcPr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Aplicativo SIIF II nación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Reporte de la cuenta en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el Aplicativo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SIIF II Nación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Formato de cuenta reportada excepción de GMF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del Ministerio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de Hacienda y crédito público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</w:t>
            </w:r>
            <w:r w:rsidR="00E03142">
              <w:rPr>
                <w:rFonts w:ascii="Arial" w:hAnsi="Arial" w:cs="Arial"/>
                <w:sz w:val="20"/>
                <w:szCs w:val="20"/>
              </w:rPr>
              <w:t>porte PAC y Cupo PAC-</w:t>
            </w:r>
            <w:r w:rsidR="00D550DE">
              <w:rPr>
                <w:rFonts w:ascii="Arial" w:hAnsi="Arial" w:cs="Arial"/>
                <w:sz w:val="20"/>
                <w:szCs w:val="20"/>
              </w:rPr>
              <w:t xml:space="preserve">SIIF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II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Nación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Nomina proyectada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Obligaciones por pagar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Formato control de registro ruta financiera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Reporte SIIF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0DE">
              <w:rPr>
                <w:rFonts w:ascii="Arial" w:hAnsi="Arial" w:cs="Arial"/>
                <w:sz w:val="20"/>
                <w:szCs w:val="20"/>
              </w:rPr>
              <w:t xml:space="preserve">Nación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de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Órdenes de Pago Presupuestales- Soportes de Pago</w:t>
            </w:r>
          </w:p>
          <w:p w:rsidR="00327F23" w:rsidRPr="00EB73AA" w:rsidRDefault="00327F23" w:rsidP="00E0314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Reporte SIIF </w:t>
            </w:r>
            <w:r w:rsidR="00E03142" w:rsidRPr="00E03142">
              <w:rPr>
                <w:rFonts w:ascii="Arial" w:hAnsi="Arial" w:cs="Arial"/>
                <w:sz w:val="20"/>
                <w:szCs w:val="20"/>
              </w:rPr>
              <w:t>Nación</w:t>
            </w:r>
            <w:r w:rsidR="00E03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de las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Órdenes de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Pago No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Presupuestales- Soportes de Pago</w:t>
            </w:r>
          </w:p>
          <w:p w:rsidR="00327F23" w:rsidRPr="00EB73AA" w:rsidRDefault="00327F23" w:rsidP="00E0314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Reportes SIIF </w:t>
            </w:r>
            <w:r w:rsidR="00E03142" w:rsidRPr="00E03142">
              <w:rPr>
                <w:rFonts w:ascii="Arial" w:hAnsi="Arial" w:cs="Arial"/>
                <w:sz w:val="20"/>
                <w:szCs w:val="20"/>
              </w:rPr>
              <w:t xml:space="preserve">Nación </w:t>
            </w:r>
            <w:r w:rsidRPr="00EB73AA">
              <w:rPr>
                <w:rFonts w:ascii="Arial" w:hAnsi="Arial" w:cs="Arial"/>
                <w:sz w:val="20"/>
                <w:szCs w:val="20"/>
              </w:rPr>
              <w:t>de las Órdenes de Pago Presupuestal y no Presupuestal.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Reporte Portal Virtual- Nomina.</w:t>
            </w:r>
          </w:p>
          <w:p w:rsidR="00327F23" w:rsidRPr="00EB73AA" w:rsidRDefault="00327F23" w:rsidP="00E031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Reporte SIIF </w:t>
            </w:r>
            <w:r w:rsidR="00E03142" w:rsidRPr="00E03142">
              <w:rPr>
                <w:rFonts w:ascii="Arial" w:hAnsi="Arial" w:cs="Arial"/>
                <w:sz w:val="20"/>
                <w:szCs w:val="20"/>
              </w:rPr>
              <w:t xml:space="preserve">Nación </w:t>
            </w:r>
            <w:r w:rsidRPr="00EB73AA">
              <w:rPr>
                <w:rFonts w:ascii="Arial" w:hAnsi="Arial" w:cs="Arial"/>
                <w:sz w:val="20"/>
                <w:szCs w:val="20"/>
              </w:rPr>
              <w:t>de las deducciones causadas.</w:t>
            </w:r>
          </w:p>
          <w:p w:rsidR="00327F23" w:rsidRPr="00EB73AA" w:rsidRDefault="00327F23" w:rsidP="00327F2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Información de nómina (archivo Excel).</w:t>
            </w:r>
          </w:p>
          <w:p w:rsidR="0007515E" w:rsidRDefault="00327F23" w:rsidP="0007515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Extractos bancarios (archivo Excel).</w:t>
            </w:r>
            <w:r w:rsidR="0007515E" w:rsidRPr="00EB7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515E" w:rsidRPr="00EB73AA" w:rsidRDefault="0007515E" w:rsidP="0007515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Cuentas de cobro</w:t>
            </w:r>
          </w:p>
          <w:p w:rsidR="0007515E" w:rsidRPr="00EB73AA" w:rsidRDefault="0007515E" w:rsidP="0007515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Informe supervisores</w:t>
            </w:r>
          </w:p>
          <w:p w:rsidR="0007515E" w:rsidRPr="00EB73AA" w:rsidRDefault="0007515E" w:rsidP="0007515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>Aportes de salud y pensión</w:t>
            </w:r>
          </w:p>
        </w:tc>
      </w:tr>
    </w:tbl>
    <w:p w:rsidR="00AB5F6E" w:rsidRPr="00AB5F6E" w:rsidRDefault="00AB5F6E" w:rsidP="00AB5F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B5F6E">
        <w:rPr>
          <w:rFonts w:ascii="Arial" w:hAnsi="Arial" w:cs="Arial"/>
          <w:b/>
          <w:sz w:val="20"/>
          <w:szCs w:val="20"/>
        </w:rPr>
        <w:t>CONTROL DE CAMBIOS</w:t>
      </w:r>
    </w:p>
    <w:p w:rsidR="00AB5F6E" w:rsidRPr="00AB5F6E" w:rsidRDefault="00AB5F6E" w:rsidP="00AB5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5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7345"/>
        <w:gridCol w:w="1217"/>
        <w:gridCol w:w="1025"/>
      </w:tblGrid>
      <w:tr w:rsidR="00AB5F6E" w:rsidRPr="00AB5F6E" w:rsidTr="00327AB7">
        <w:trPr>
          <w:trHeight w:val="377"/>
        </w:trPr>
        <w:tc>
          <w:tcPr>
            <w:tcW w:w="950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Versión Inicial</w:t>
            </w:r>
          </w:p>
        </w:tc>
        <w:tc>
          <w:tcPr>
            <w:tcW w:w="7345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Identificación del Cambio</w:t>
            </w:r>
          </w:p>
        </w:tc>
        <w:tc>
          <w:tcPr>
            <w:tcW w:w="1217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25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Versión Final</w:t>
            </w:r>
          </w:p>
        </w:tc>
      </w:tr>
      <w:tr w:rsidR="00AB5F6E" w:rsidRPr="00AB5F6E" w:rsidTr="00327AB7">
        <w:trPr>
          <w:trHeight w:val="1351"/>
        </w:trPr>
        <w:tc>
          <w:tcPr>
            <w:tcW w:w="950" w:type="dxa"/>
            <w:shd w:val="clear" w:color="auto" w:fill="auto"/>
          </w:tcPr>
          <w:p w:rsidR="00AB5F6E" w:rsidRPr="00AB5F6E" w:rsidRDefault="00AB5F6E" w:rsidP="00AB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345" w:type="dxa"/>
            <w:shd w:val="clear" w:color="auto" w:fill="auto"/>
          </w:tcPr>
          <w:p w:rsidR="00AB5F6E" w:rsidRPr="00AB5F6E" w:rsidRDefault="00AB5F6E" w:rsidP="00AB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pStyle w:val="Prrafodelista"/>
              <w:numPr>
                <w:ilvl w:val="0"/>
                <w:numId w:val="1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De la versión 02 las actividades </w:t>
            </w:r>
            <w:r w:rsidR="00D550DE" w:rsidRPr="00EB73AA">
              <w:rPr>
                <w:rFonts w:ascii="Arial" w:hAnsi="Arial" w:cs="Arial"/>
                <w:sz w:val="20"/>
                <w:szCs w:val="20"/>
                <w:lang w:val="es-ES"/>
              </w:rPr>
              <w:t>3. Elaborar</w:t>
            </w:r>
            <w:r w:rsidRPr="00EB73AA">
              <w:rPr>
                <w:rFonts w:ascii="Arial" w:hAnsi="Arial" w:cs="Arial"/>
                <w:sz w:val="20"/>
                <w:szCs w:val="20"/>
                <w:lang w:val="es-ES"/>
              </w:rPr>
              <w:t xml:space="preserve"> plan de Pagos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4. Crear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Versión de Cupo PAC se compilaron en la versión Final en la actividad 03 Programación de PAC de Vigencia y rezago presupuestal.</w:t>
            </w:r>
          </w:p>
          <w:p w:rsidR="00AB5F6E" w:rsidRPr="00AB5F6E" w:rsidRDefault="00AB5F6E" w:rsidP="00AB5F6E">
            <w:pPr>
              <w:pStyle w:val="Prrafodelista"/>
              <w:numPr>
                <w:ilvl w:val="0"/>
                <w:numId w:val="1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Se incluyó en la versión final   la actividad 05 Generar Órdenes de </w:t>
            </w:r>
            <w:r w:rsidR="00D550DE" w:rsidRPr="00EB73AA">
              <w:rPr>
                <w:rFonts w:ascii="Arial" w:hAnsi="Arial" w:cs="Arial"/>
                <w:sz w:val="20"/>
                <w:szCs w:val="20"/>
              </w:rPr>
              <w:t>Pago Presupuestales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con instrucciones adicionales de pago (servicios públicos). </w:t>
            </w:r>
          </w:p>
          <w:p w:rsidR="00AB5F6E" w:rsidRPr="00F72170" w:rsidRDefault="00AB5F6E" w:rsidP="00AB5F6E">
            <w:pPr>
              <w:pStyle w:val="Prrafodelista"/>
              <w:numPr>
                <w:ilvl w:val="0"/>
                <w:numId w:val="1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B73AA">
              <w:rPr>
                <w:rFonts w:ascii="Arial" w:hAnsi="Arial" w:cs="Arial"/>
                <w:sz w:val="20"/>
                <w:szCs w:val="20"/>
              </w:rPr>
              <w:t xml:space="preserve">De la versión 02 las actividades 6. Modificación de Órdenes de Pago, 7. Autorizar Orden de Pago Presupuestal </w:t>
            </w:r>
            <w:r w:rsidR="00E201FE" w:rsidRPr="00EB73AA">
              <w:rPr>
                <w:rFonts w:ascii="Arial" w:hAnsi="Arial" w:cs="Arial"/>
                <w:sz w:val="20"/>
                <w:szCs w:val="20"/>
              </w:rPr>
              <w:t>y No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Presupuestal, 8. Generar Orden Bancaria, 9. Pagar </w:t>
            </w:r>
            <w:r w:rsidR="00E201FE" w:rsidRPr="00EB73AA">
              <w:rPr>
                <w:rFonts w:ascii="Arial" w:hAnsi="Arial" w:cs="Arial"/>
                <w:sz w:val="20"/>
                <w:szCs w:val="20"/>
              </w:rPr>
              <w:t>la Orden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Bancaria y 10. Pago </w:t>
            </w:r>
            <w:r w:rsidR="00E201FE" w:rsidRPr="00EB73AA">
              <w:rPr>
                <w:rFonts w:ascii="Arial" w:hAnsi="Arial" w:cs="Arial"/>
                <w:sz w:val="20"/>
                <w:szCs w:val="20"/>
              </w:rPr>
              <w:t>de la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orden </w:t>
            </w:r>
            <w:r w:rsidR="00E201FE" w:rsidRPr="00EB73AA">
              <w:rPr>
                <w:rFonts w:ascii="Arial" w:hAnsi="Arial" w:cs="Arial"/>
                <w:sz w:val="20"/>
                <w:szCs w:val="20"/>
              </w:rPr>
              <w:t>de valor</w:t>
            </w:r>
            <w:r w:rsidRPr="00EB73AA">
              <w:rPr>
                <w:rFonts w:ascii="Arial" w:hAnsi="Arial" w:cs="Arial"/>
                <w:sz w:val="20"/>
                <w:szCs w:val="20"/>
              </w:rPr>
              <w:t xml:space="preserve"> Liquido Cero, se compilaron en la versión Final en la actividad 07 Generar Ordenes de Pago   No Presupuestales y ordenes bancarias (culminación traspaso a pagaduría).</w:t>
            </w:r>
          </w:p>
          <w:p w:rsidR="00F72170" w:rsidRPr="00AB5F6E" w:rsidRDefault="00F72170" w:rsidP="00F72170">
            <w:pPr>
              <w:pStyle w:val="Prrafodelista"/>
              <w:ind w:left="31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B5F6E" w:rsidRPr="00F72170" w:rsidRDefault="00AB5F6E" w:rsidP="00F72170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2170">
              <w:rPr>
                <w:rFonts w:ascii="Arial" w:hAnsi="Arial" w:cs="Arial"/>
                <w:sz w:val="20"/>
                <w:szCs w:val="20"/>
              </w:rPr>
              <w:lastRenderedPageBreak/>
              <w:t>Se incluyó en la versión final las actividades 10 Pago de PILA, 11 Pago de viáticos- funcionarios, 12  Cargue de extracto de las cuentas bancarias de tesorería, 13 Cargue de extracto de las cuentas bancarias de tesorería, 14 Reintegros presupuestales, 15 Informes y 17 Certificaciones de ingresos y retenciones y soportes de pago.</w:t>
            </w:r>
          </w:p>
        </w:tc>
        <w:tc>
          <w:tcPr>
            <w:tcW w:w="1217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F6E">
              <w:rPr>
                <w:rFonts w:ascii="Arial" w:hAnsi="Arial" w:cs="Arial"/>
                <w:sz w:val="20"/>
                <w:szCs w:val="20"/>
              </w:rPr>
              <w:t>14/05/2014</w:t>
            </w:r>
          </w:p>
        </w:tc>
        <w:tc>
          <w:tcPr>
            <w:tcW w:w="1025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AB5F6E" w:rsidRPr="00AB5F6E" w:rsidTr="00327AB7">
        <w:trPr>
          <w:trHeight w:val="1431"/>
        </w:trPr>
        <w:tc>
          <w:tcPr>
            <w:tcW w:w="950" w:type="dxa"/>
            <w:shd w:val="clear" w:color="auto" w:fill="auto"/>
          </w:tcPr>
          <w:p w:rsidR="00AB5F6E" w:rsidRPr="00AB5F6E" w:rsidRDefault="00AB5F6E" w:rsidP="00AB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345" w:type="dxa"/>
            <w:shd w:val="clear" w:color="auto" w:fill="auto"/>
            <w:vAlign w:val="center"/>
          </w:tcPr>
          <w:p w:rsidR="00AB5F6E" w:rsidRPr="00AB5F6E" w:rsidRDefault="00AB5F6E" w:rsidP="008969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F6E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D550DE" w:rsidRPr="00AB5F6E">
              <w:rPr>
                <w:rFonts w:ascii="Arial" w:hAnsi="Arial" w:cs="Arial"/>
                <w:sz w:val="20"/>
                <w:szCs w:val="20"/>
              </w:rPr>
              <w:t xml:space="preserve">modificó </w:t>
            </w:r>
            <w:r w:rsidR="00D550DE">
              <w:rPr>
                <w:rFonts w:ascii="Arial" w:hAnsi="Arial" w:cs="Arial"/>
                <w:sz w:val="20"/>
                <w:szCs w:val="20"/>
              </w:rPr>
              <w:t>el propósito</w:t>
            </w:r>
            <w:r>
              <w:rPr>
                <w:rFonts w:ascii="Arial" w:hAnsi="Arial" w:cs="Arial"/>
                <w:sz w:val="20"/>
                <w:szCs w:val="20"/>
              </w:rPr>
              <w:t>, el alcance, se modifica la definición de SIIF Nación, el Marco Legal, donde se modifica la Ley de Presupuesto con la ley 1769 de 24 noviembre de 2015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Se revisa las resp</w:t>
            </w:r>
            <w:r w:rsidR="008969B8">
              <w:rPr>
                <w:rFonts w:ascii="Arial" w:hAnsi="Arial" w:cs="Arial"/>
                <w:bCs/>
                <w:sz w:val="20"/>
                <w:szCs w:val="20"/>
              </w:rPr>
              <w:t>onsabilidades del procedimiento</w:t>
            </w:r>
          </w:p>
        </w:tc>
        <w:tc>
          <w:tcPr>
            <w:tcW w:w="1217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F6E" w:rsidRPr="00AB5F6E" w:rsidRDefault="001203A2" w:rsidP="00120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01FE">
              <w:rPr>
                <w:rFonts w:ascii="Arial" w:hAnsi="Arial" w:cs="Arial"/>
                <w:sz w:val="20"/>
                <w:szCs w:val="20"/>
              </w:rPr>
              <w:t>1</w:t>
            </w:r>
            <w:r w:rsidR="00AB5F6E" w:rsidRPr="00AB5F6E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B5F6E" w:rsidRPr="00AB5F6E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025" w:type="dxa"/>
            <w:shd w:val="clear" w:color="auto" w:fill="auto"/>
          </w:tcPr>
          <w:p w:rsidR="00AB5F6E" w:rsidRPr="00AB5F6E" w:rsidRDefault="00AB5F6E" w:rsidP="00A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5F6E" w:rsidRPr="00AB5F6E" w:rsidRDefault="00AB5F6E" w:rsidP="00A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F6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</w:tbl>
    <w:p w:rsidR="00EB346D" w:rsidRDefault="00EB346D" w:rsidP="00E44C2D">
      <w:pPr>
        <w:rPr>
          <w:rFonts w:ascii="Arial" w:hAnsi="Arial" w:cs="Arial"/>
          <w:b/>
          <w:sz w:val="20"/>
          <w:szCs w:val="20"/>
        </w:rPr>
      </w:pPr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B5F6E" w:rsidRDefault="00AB5F6E" w:rsidP="00E44C2D">
      <w:pPr>
        <w:rPr>
          <w:rFonts w:ascii="Arial" w:hAnsi="Arial" w:cs="Arial"/>
          <w:b/>
          <w:sz w:val="20"/>
          <w:szCs w:val="20"/>
        </w:rPr>
      </w:pPr>
    </w:p>
    <w:p w:rsidR="00167172" w:rsidRPr="00167172" w:rsidRDefault="00167172">
      <w:pPr>
        <w:rPr>
          <w:rFonts w:ascii="Arial" w:hAnsi="Arial" w:cs="Arial"/>
          <w:sz w:val="16"/>
          <w:szCs w:val="20"/>
        </w:rPr>
      </w:pPr>
    </w:p>
    <w:p w:rsidR="00EB73AA" w:rsidRPr="00167172" w:rsidRDefault="00EB73AA" w:rsidP="00167172">
      <w:pPr>
        <w:rPr>
          <w:rFonts w:ascii="Arial" w:hAnsi="Arial" w:cs="Arial"/>
          <w:sz w:val="16"/>
          <w:szCs w:val="20"/>
          <w:lang w:val="es-ES"/>
        </w:rPr>
      </w:pPr>
    </w:p>
    <w:sectPr w:rsidR="00EB73AA" w:rsidRPr="00167172" w:rsidSect="00167172">
      <w:headerReference w:type="default" r:id="rId8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CE" w:rsidRDefault="007805CE" w:rsidP="00831736">
      <w:pPr>
        <w:spacing w:after="0" w:line="240" w:lineRule="auto"/>
      </w:pPr>
      <w:r>
        <w:separator/>
      </w:r>
    </w:p>
  </w:endnote>
  <w:endnote w:type="continuationSeparator" w:id="0">
    <w:p w:rsidR="007805CE" w:rsidRDefault="007805CE" w:rsidP="0083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CE" w:rsidRDefault="007805CE" w:rsidP="00831736">
      <w:pPr>
        <w:spacing w:after="0" w:line="240" w:lineRule="auto"/>
      </w:pPr>
      <w:r>
        <w:separator/>
      </w:r>
    </w:p>
  </w:footnote>
  <w:footnote w:type="continuationSeparator" w:id="0">
    <w:p w:rsidR="007805CE" w:rsidRDefault="007805CE" w:rsidP="0083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0"/>
      <w:gridCol w:w="5972"/>
      <w:gridCol w:w="1679"/>
      <w:gridCol w:w="1466"/>
    </w:tblGrid>
    <w:tr w:rsidR="00831736" w:rsidRPr="0084285F" w:rsidTr="0084285F">
      <w:trPr>
        <w:trHeight w:val="298"/>
      </w:trPr>
      <w:tc>
        <w:tcPr>
          <w:tcW w:w="1400" w:type="dxa"/>
          <w:vMerge w:val="restart"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84285F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77911C9B" wp14:editId="15036CCF">
                <wp:extent cx="613588" cy="603849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724" cy="60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2" w:type="dxa"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4285F">
            <w:rPr>
              <w:rFonts w:ascii="Arial" w:hAnsi="Arial" w:cs="Arial"/>
              <w:b/>
              <w:sz w:val="18"/>
              <w:szCs w:val="18"/>
            </w:rPr>
            <w:t xml:space="preserve">PROCEDIMIENTO </w:t>
          </w:r>
          <w:r w:rsidR="0028484B" w:rsidRPr="0084285F">
            <w:rPr>
              <w:rFonts w:ascii="Arial" w:hAnsi="Arial" w:cs="Arial"/>
              <w:b/>
              <w:sz w:val="18"/>
              <w:szCs w:val="18"/>
            </w:rPr>
            <w:t xml:space="preserve">DE </w:t>
          </w:r>
          <w:r w:rsidR="00DF3374" w:rsidRPr="0084285F">
            <w:rPr>
              <w:rFonts w:ascii="Arial" w:hAnsi="Arial" w:cs="Arial"/>
              <w:b/>
              <w:sz w:val="18"/>
              <w:szCs w:val="18"/>
            </w:rPr>
            <w:t>TESORERIA</w:t>
          </w:r>
        </w:p>
      </w:tc>
      <w:tc>
        <w:tcPr>
          <w:tcW w:w="1679" w:type="dxa"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ind w:left="-9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4285F">
            <w:rPr>
              <w:rFonts w:ascii="Arial" w:hAnsi="Arial" w:cs="Arial"/>
              <w:b/>
              <w:sz w:val="18"/>
              <w:szCs w:val="18"/>
            </w:rPr>
            <w:t>Código:</w:t>
          </w:r>
        </w:p>
        <w:p w:rsidR="00831736" w:rsidRPr="0084285F" w:rsidRDefault="001961AF" w:rsidP="008612F0">
          <w:pPr>
            <w:pStyle w:val="Encabezado"/>
            <w:ind w:left="-9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4285F">
            <w:rPr>
              <w:rFonts w:ascii="Arial" w:hAnsi="Arial" w:cs="Arial"/>
              <w:sz w:val="18"/>
              <w:szCs w:val="18"/>
            </w:rPr>
            <w:t>GAF-PR-01 / V</w:t>
          </w:r>
          <w:r w:rsidR="008612F0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1466" w:type="dxa"/>
          <w:vMerge w:val="restart"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84285F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3F71F679" wp14:editId="12095F6B">
                <wp:extent cx="638355" cy="616716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787" cy="61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1736" w:rsidRPr="0084285F" w:rsidTr="0084285F">
      <w:trPr>
        <w:trHeight w:val="296"/>
      </w:trPr>
      <w:tc>
        <w:tcPr>
          <w:tcW w:w="1400" w:type="dxa"/>
          <w:vMerge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72" w:type="dxa"/>
          <w:shd w:val="clear" w:color="auto" w:fill="auto"/>
          <w:vAlign w:val="center"/>
        </w:tcPr>
        <w:p w:rsidR="00831736" w:rsidRPr="0084285F" w:rsidRDefault="001961AF" w:rsidP="001961A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84285F">
            <w:rPr>
              <w:rFonts w:ascii="Arial" w:hAnsi="Arial" w:cs="Arial"/>
              <w:sz w:val="18"/>
              <w:szCs w:val="18"/>
            </w:rPr>
            <w:t>GESTIÓ</w:t>
          </w:r>
          <w:r w:rsidR="00130673" w:rsidRPr="0084285F">
            <w:rPr>
              <w:rFonts w:ascii="Arial" w:hAnsi="Arial" w:cs="Arial"/>
              <w:sz w:val="18"/>
              <w:szCs w:val="18"/>
            </w:rPr>
            <w:t xml:space="preserve">N </w:t>
          </w:r>
          <w:r w:rsidR="00DF3374" w:rsidRPr="0084285F">
            <w:rPr>
              <w:rFonts w:ascii="Arial" w:hAnsi="Arial" w:cs="Arial"/>
              <w:sz w:val="18"/>
              <w:szCs w:val="18"/>
            </w:rPr>
            <w:t>ADMINISTRATIVA</w:t>
          </w:r>
          <w:r w:rsidRPr="0084285F">
            <w:rPr>
              <w:rFonts w:ascii="Arial" w:hAnsi="Arial" w:cs="Arial"/>
              <w:sz w:val="18"/>
              <w:szCs w:val="18"/>
            </w:rPr>
            <w:t xml:space="preserve"> Y FINANCIERA</w:t>
          </w:r>
        </w:p>
      </w:tc>
      <w:tc>
        <w:tcPr>
          <w:tcW w:w="1679" w:type="dxa"/>
          <w:shd w:val="clear" w:color="auto" w:fill="auto"/>
          <w:vAlign w:val="center"/>
        </w:tcPr>
        <w:p w:rsidR="0028061E" w:rsidRPr="0028061E" w:rsidRDefault="00831736" w:rsidP="00052A72">
          <w:pPr>
            <w:pStyle w:val="Encabezado"/>
            <w:ind w:left="-98"/>
            <w:rPr>
              <w:rFonts w:ascii="Arial" w:hAnsi="Arial" w:cs="Arial"/>
              <w:sz w:val="18"/>
              <w:szCs w:val="18"/>
            </w:rPr>
          </w:pPr>
          <w:r w:rsidRPr="0084285F">
            <w:rPr>
              <w:rFonts w:ascii="Arial" w:hAnsi="Arial" w:cs="Arial"/>
              <w:b/>
              <w:sz w:val="18"/>
              <w:szCs w:val="18"/>
            </w:rPr>
            <w:t xml:space="preserve">Fecha: </w:t>
          </w:r>
          <w:r w:rsidR="00052A72">
            <w:rPr>
              <w:rFonts w:ascii="Arial" w:hAnsi="Arial" w:cs="Arial"/>
              <w:sz w:val="18"/>
              <w:szCs w:val="18"/>
            </w:rPr>
            <w:t>31</w:t>
          </w:r>
          <w:r w:rsidR="0028061E">
            <w:rPr>
              <w:rFonts w:ascii="Arial" w:hAnsi="Arial" w:cs="Arial"/>
              <w:sz w:val="18"/>
              <w:szCs w:val="18"/>
            </w:rPr>
            <w:t>/0</w:t>
          </w:r>
          <w:r w:rsidR="00052A72">
            <w:rPr>
              <w:rFonts w:ascii="Arial" w:hAnsi="Arial" w:cs="Arial"/>
              <w:sz w:val="18"/>
              <w:szCs w:val="18"/>
            </w:rPr>
            <w:t>3</w:t>
          </w:r>
          <w:r w:rsidR="0028061E">
            <w:rPr>
              <w:rFonts w:ascii="Arial" w:hAnsi="Arial" w:cs="Arial"/>
              <w:sz w:val="18"/>
              <w:szCs w:val="18"/>
            </w:rPr>
            <w:t>/2016</w:t>
          </w:r>
        </w:p>
      </w:tc>
      <w:tc>
        <w:tcPr>
          <w:tcW w:w="1466" w:type="dxa"/>
          <w:vMerge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831736" w:rsidRPr="0084285F" w:rsidTr="0084285F">
      <w:trPr>
        <w:trHeight w:val="272"/>
      </w:trPr>
      <w:tc>
        <w:tcPr>
          <w:tcW w:w="1400" w:type="dxa"/>
          <w:vMerge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72" w:type="dxa"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4285F">
            <w:rPr>
              <w:rFonts w:ascii="Arial" w:hAnsi="Arial" w:cs="Arial"/>
              <w:b/>
              <w:sz w:val="18"/>
              <w:szCs w:val="18"/>
            </w:rPr>
            <w:t>UNIDAD NACIONAL DE PROTECCIÓN</w:t>
          </w:r>
        </w:p>
      </w:tc>
      <w:tc>
        <w:tcPr>
          <w:tcW w:w="1679" w:type="dxa"/>
          <w:shd w:val="clear" w:color="auto" w:fill="auto"/>
          <w:vAlign w:val="center"/>
        </w:tcPr>
        <w:sdt>
          <w:sdtPr>
            <w:rPr>
              <w:rFonts w:ascii="Arial" w:hAnsi="Arial" w:cs="Arial"/>
              <w:sz w:val="18"/>
              <w:szCs w:val="18"/>
            </w:rPr>
            <w:id w:val="1477648756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p w:rsidR="001961AF" w:rsidRPr="0084285F" w:rsidRDefault="001961AF" w:rsidP="0084285F">
              <w:pPr>
                <w:pStyle w:val="Encabezado"/>
                <w:ind w:left="-98"/>
                <w:rPr>
                  <w:sz w:val="18"/>
                  <w:szCs w:val="18"/>
                </w:rPr>
              </w:pPr>
              <w:r w:rsidRPr="0084285F">
                <w:rPr>
                  <w:rFonts w:ascii="Arial" w:hAnsi="Arial" w:cs="Arial"/>
                  <w:b/>
                  <w:sz w:val="18"/>
                  <w:szCs w:val="18"/>
                  <w:lang w:val="es-ES"/>
                </w:rPr>
                <w:t>Página:</w:t>
              </w:r>
              <w:r w:rsidRPr="0084285F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</w:t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fldChar w:fldCharType="begin"/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instrText>PAGE</w:instrText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="00A60E4C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6</w:t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  <w:r w:rsidRPr="0084285F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de </w:t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fldChar w:fldCharType="begin"/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instrText>NUMPAGES</w:instrText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="00A60E4C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8</w:t>
              </w:r>
              <w:r w:rsidRPr="0084285F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</w:p>
          </w:sdtContent>
        </w:sdt>
        <w:p w:rsidR="0068486B" w:rsidRPr="0084285F" w:rsidRDefault="0068486B" w:rsidP="0084285F">
          <w:pPr>
            <w:pStyle w:val="Encabezado"/>
            <w:ind w:left="-98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466" w:type="dxa"/>
          <w:vMerge/>
          <w:shd w:val="clear" w:color="auto" w:fill="auto"/>
          <w:vAlign w:val="center"/>
        </w:tcPr>
        <w:p w:rsidR="00831736" w:rsidRPr="0084285F" w:rsidRDefault="00831736" w:rsidP="001961A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1961AF" w:rsidRPr="001961AF" w:rsidRDefault="001961AF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984"/>
    <w:multiLevelType w:val="multilevel"/>
    <w:tmpl w:val="9A0E7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26C"/>
    <w:multiLevelType w:val="hybridMultilevel"/>
    <w:tmpl w:val="AF5E4C72"/>
    <w:lvl w:ilvl="0" w:tplc="6A0CB58E">
      <w:start w:val="3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61F16"/>
    <w:multiLevelType w:val="hybridMultilevel"/>
    <w:tmpl w:val="941EE0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11EC"/>
    <w:multiLevelType w:val="hybridMultilevel"/>
    <w:tmpl w:val="DDE2CB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A7A77"/>
    <w:multiLevelType w:val="hybridMultilevel"/>
    <w:tmpl w:val="12D48F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2311"/>
    <w:multiLevelType w:val="hybridMultilevel"/>
    <w:tmpl w:val="1AE663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F06"/>
    <w:multiLevelType w:val="hybridMultilevel"/>
    <w:tmpl w:val="95DED6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570CF3"/>
    <w:multiLevelType w:val="hybridMultilevel"/>
    <w:tmpl w:val="E1645B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F7B17"/>
    <w:multiLevelType w:val="multilevel"/>
    <w:tmpl w:val="FDF8A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360AA"/>
    <w:multiLevelType w:val="hybridMultilevel"/>
    <w:tmpl w:val="553AEE5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529E3F47"/>
    <w:multiLevelType w:val="hybridMultilevel"/>
    <w:tmpl w:val="EE7830CE"/>
    <w:lvl w:ilvl="0" w:tplc="0C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5EC7419"/>
    <w:multiLevelType w:val="hybridMultilevel"/>
    <w:tmpl w:val="7604E2D4"/>
    <w:lvl w:ilvl="0" w:tplc="0C0A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EA6434B"/>
    <w:multiLevelType w:val="hybridMultilevel"/>
    <w:tmpl w:val="C23E7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E4921"/>
    <w:multiLevelType w:val="hybridMultilevel"/>
    <w:tmpl w:val="93E675E4"/>
    <w:lvl w:ilvl="0" w:tplc="5E6E067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E1A"/>
    <w:multiLevelType w:val="multilevel"/>
    <w:tmpl w:val="D53C1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3361F"/>
    <w:multiLevelType w:val="hybridMultilevel"/>
    <w:tmpl w:val="DCC4F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64A71"/>
    <w:multiLevelType w:val="hybridMultilevel"/>
    <w:tmpl w:val="511C0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75C3D"/>
    <w:multiLevelType w:val="hybridMultilevel"/>
    <w:tmpl w:val="C4546A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C5ED5"/>
    <w:multiLevelType w:val="multilevel"/>
    <w:tmpl w:val="D53C1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16"/>
  </w:num>
  <w:num w:numId="11">
    <w:abstractNumId w:val="17"/>
  </w:num>
  <w:num w:numId="12">
    <w:abstractNumId w:val="14"/>
  </w:num>
  <w:num w:numId="13">
    <w:abstractNumId w:val="5"/>
  </w:num>
  <w:num w:numId="14">
    <w:abstractNumId w:val="7"/>
  </w:num>
  <w:num w:numId="15">
    <w:abstractNumId w:val="10"/>
  </w:num>
  <w:num w:numId="16">
    <w:abstractNumId w:val="13"/>
  </w:num>
  <w:num w:numId="17">
    <w:abstractNumId w:val="1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6"/>
    <w:rsid w:val="00010DB5"/>
    <w:rsid w:val="000172EB"/>
    <w:rsid w:val="00020D08"/>
    <w:rsid w:val="000275DE"/>
    <w:rsid w:val="0003417F"/>
    <w:rsid w:val="00035DD7"/>
    <w:rsid w:val="00052A72"/>
    <w:rsid w:val="0006006D"/>
    <w:rsid w:val="00060706"/>
    <w:rsid w:val="000626C7"/>
    <w:rsid w:val="0006782B"/>
    <w:rsid w:val="00072F90"/>
    <w:rsid w:val="0007515E"/>
    <w:rsid w:val="00077A80"/>
    <w:rsid w:val="000802A0"/>
    <w:rsid w:val="000969AA"/>
    <w:rsid w:val="000A24F5"/>
    <w:rsid w:val="000B560A"/>
    <w:rsid w:val="000C7030"/>
    <w:rsid w:val="000E361E"/>
    <w:rsid w:val="000E598E"/>
    <w:rsid w:val="000F6267"/>
    <w:rsid w:val="00103537"/>
    <w:rsid w:val="001203A2"/>
    <w:rsid w:val="00124395"/>
    <w:rsid w:val="00130673"/>
    <w:rsid w:val="001354A7"/>
    <w:rsid w:val="0014131F"/>
    <w:rsid w:val="00145A50"/>
    <w:rsid w:val="0015595E"/>
    <w:rsid w:val="00167172"/>
    <w:rsid w:val="0017243C"/>
    <w:rsid w:val="00177585"/>
    <w:rsid w:val="00182A33"/>
    <w:rsid w:val="001961AF"/>
    <w:rsid w:val="001A3834"/>
    <w:rsid w:val="001B7717"/>
    <w:rsid w:val="001C1D62"/>
    <w:rsid w:val="001C437B"/>
    <w:rsid w:val="001C6F58"/>
    <w:rsid w:val="001D0352"/>
    <w:rsid w:val="001E2C0B"/>
    <w:rsid w:val="00204CB0"/>
    <w:rsid w:val="002069C8"/>
    <w:rsid w:val="00216F10"/>
    <w:rsid w:val="00221AB8"/>
    <w:rsid w:val="002234B7"/>
    <w:rsid w:val="00227B72"/>
    <w:rsid w:val="002312AB"/>
    <w:rsid w:val="00237E74"/>
    <w:rsid w:val="00237F57"/>
    <w:rsid w:val="002406A4"/>
    <w:rsid w:val="0026224E"/>
    <w:rsid w:val="002624E9"/>
    <w:rsid w:val="00263A0D"/>
    <w:rsid w:val="00265098"/>
    <w:rsid w:val="0026602C"/>
    <w:rsid w:val="00267C67"/>
    <w:rsid w:val="00267E69"/>
    <w:rsid w:val="0028061E"/>
    <w:rsid w:val="002825E8"/>
    <w:rsid w:val="0028484B"/>
    <w:rsid w:val="002901D4"/>
    <w:rsid w:val="0029154B"/>
    <w:rsid w:val="00293B90"/>
    <w:rsid w:val="002A5554"/>
    <w:rsid w:val="002B31EC"/>
    <w:rsid w:val="002B3F5A"/>
    <w:rsid w:val="002C6667"/>
    <w:rsid w:val="002C75A7"/>
    <w:rsid w:val="002D72AD"/>
    <w:rsid w:val="002E02AC"/>
    <w:rsid w:val="002E3E89"/>
    <w:rsid w:val="00300250"/>
    <w:rsid w:val="003013EF"/>
    <w:rsid w:val="003146FC"/>
    <w:rsid w:val="003211F8"/>
    <w:rsid w:val="0032657D"/>
    <w:rsid w:val="00327F23"/>
    <w:rsid w:val="003304E5"/>
    <w:rsid w:val="00333195"/>
    <w:rsid w:val="003628E0"/>
    <w:rsid w:val="003718EF"/>
    <w:rsid w:val="003761F7"/>
    <w:rsid w:val="00377B7A"/>
    <w:rsid w:val="00391751"/>
    <w:rsid w:val="003A38ED"/>
    <w:rsid w:val="003A7C03"/>
    <w:rsid w:val="003B583F"/>
    <w:rsid w:val="003B746F"/>
    <w:rsid w:val="003D0DA9"/>
    <w:rsid w:val="003D260D"/>
    <w:rsid w:val="003D2CD9"/>
    <w:rsid w:val="003F0199"/>
    <w:rsid w:val="003F1442"/>
    <w:rsid w:val="003F67A2"/>
    <w:rsid w:val="004058CD"/>
    <w:rsid w:val="00417FA5"/>
    <w:rsid w:val="00426B35"/>
    <w:rsid w:val="00447EE3"/>
    <w:rsid w:val="00452A5D"/>
    <w:rsid w:val="00453CAB"/>
    <w:rsid w:val="00460390"/>
    <w:rsid w:val="00463123"/>
    <w:rsid w:val="00476A3E"/>
    <w:rsid w:val="00477A0D"/>
    <w:rsid w:val="00496354"/>
    <w:rsid w:val="004A61F8"/>
    <w:rsid w:val="004B2933"/>
    <w:rsid w:val="004D4C61"/>
    <w:rsid w:val="004D6569"/>
    <w:rsid w:val="004E1871"/>
    <w:rsid w:val="004E40CD"/>
    <w:rsid w:val="004E6515"/>
    <w:rsid w:val="004F1589"/>
    <w:rsid w:val="004F7743"/>
    <w:rsid w:val="005035DB"/>
    <w:rsid w:val="005133CF"/>
    <w:rsid w:val="005228C3"/>
    <w:rsid w:val="00524313"/>
    <w:rsid w:val="00525918"/>
    <w:rsid w:val="00526BCE"/>
    <w:rsid w:val="00527682"/>
    <w:rsid w:val="00542F79"/>
    <w:rsid w:val="00567722"/>
    <w:rsid w:val="005740F1"/>
    <w:rsid w:val="00577CFD"/>
    <w:rsid w:val="00584ABE"/>
    <w:rsid w:val="00592918"/>
    <w:rsid w:val="00592DBE"/>
    <w:rsid w:val="00593C62"/>
    <w:rsid w:val="00594A66"/>
    <w:rsid w:val="0059550C"/>
    <w:rsid w:val="005A37AD"/>
    <w:rsid w:val="005B1191"/>
    <w:rsid w:val="005C1583"/>
    <w:rsid w:val="005C7198"/>
    <w:rsid w:val="005D6C37"/>
    <w:rsid w:val="006064A3"/>
    <w:rsid w:val="00607CD9"/>
    <w:rsid w:val="00616F5A"/>
    <w:rsid w:val="00623839"/>
    <w:rsid w:val="00636205"/>
    <w:rsid w:val="00641A79"/>
    <w:rsid w:val="006472C6"/>
    <w:rsid w:val="00653107"/>
    <w:rsid w:val="0066195D"/>
    <w:rsid w:val="00662029"/>
    <w:rsid w:val="00673E1A"/>
    <w:rsid w:val="00677F5A"/>
    <w:rsid w:val="0068486B"/>
    <w:rsid w:val="00686960"/>
    <w:rsid w:val="00694154"/>
    <w:rsid w:val="006969E9"/>
    <w:rsid w:val="006B5557"/>
    <w:rsid w:val="006C5956"/>
    <w:rsid w:val="006D71D9"/>
    <w:rsid w:val="006E0416"/>
    <w:rsid w:val="006E3CCC"/>
    <w:rsid w:val="006E422F"/>
    <w:rsid w:val="00700152"/>
    <w:rsid w:val="00704CE4"/>
    <w:rsid w:val="00713ACB"/>
    <w:rsid w:val="00723571"/>
    <w:rsid w:val="007354EA"/>
    <w:rsid w:val="00751A9C"/>
    <w:rsid w:val="00754D64"/>
    <w:rsid w:val="00757B9A"/>
    <w:rsid w:val="00760DC1"/>
    <w:rsid w:val="00766DA7"/>
    <w:rsid w:val="00766EE6"/>
    <w:rsid w:val="00771CAC"/>
    <w:rsid w:val="00774D07"/>
    <w:rsid w:val="007805CE"/>
    <w:rsid w:val="00781A17"/>
    <w:rsid w:val="007975C2"/>
    <w:rsid w:val="007B0315"/>
    <w:rsid w:val="007C4884"/>
    <w:rsid w:val="007C4EEA"/>
    <w:rsid w:val="007E579C"/>
    <w:rsid w:val="007E6D73"/>
    <w:rsid w:val="00815B8E"/>
    <w:rsid w:val="00831736"/>
    <w:rsid w:val="00832631"/>
    <w:rsid w:val="008364C5"/>
    <w:rsid w:val="0084285F"/>
    <w:rsid w:val="00845249"/>
    <w:rsid w:val="00845476"/>
    <w:rsid w:val="008462E3"/>
    <w:rsid w:val="00852ED5"/>
    <w:rsid w:val="00857C6C"/>
    <w:rsid w:val="00860F28"/>
    <w:rsid w:val="008612F0"/>
    <w:rsid w:val="00872F59"/>
    <w:rsid w:val="00873CCE"/>
    <w:rsid w:val="00884220"/>
    <w:rsid w:val="00891864"/>
    <w:rsid w:val="008969B8"/>
    <w:rsid w:val="008B0566"/>
    <w:rsid w:val="008C4CEA"/>
    <w:rsid w:val="008C6A36"/>
    <w:rsid w:val="008D58B5"/>
    <w:rsid w:val="008E1B23"/>
    <w:rsid w:val="008E3521"/>
    <w:rsid w:val="008F134A"/>
    <w:rsid w:val="008F6B17"/>
    <w:rsid w:val="00901EFF"/>
    <w:rsid w:val="00902FB9"/>
    <w:rsid w:val="009134E8"/>
    <w:rsid w:val="00921067"/>
    <w:rsid w:val="00926859"/>
    <w:rsid w:val="009303FB"/>
    <w:rsid w:val="009459CA"/>
    <w:rsid w:val="00952721"/>
    <w:rsid w:val="00952FC1"/>
    <w:rsid w:val="009578C8"/>
    <w:rsid w:val="00970360"/>
    <w:rsid w:val="00971613"/>
    <w:rsid w:val="009A2B6A"/>
    <w:rsid w:val="009B1696"/>
    <w:rsid w:val="009B7AFC"/>
    <w:rsid w:val="009C14B8"/>
    <w:rsid w:val="009C24F4"/>
    <w:rsid w:val="009C3368"/>
    <w:rsid w:val="009D42BD"/>
    <w:rsid w:val="009E615D"/>
    <w:rsid w:val="009E7FC9"/>
    <w:rsid w:val="009F5F3E"/>
    <w:rsid w:val="00A02A0E"/>
    <w:rsid w:val="00A1024E"/>
    <w:rsid w:val="00A13DE6"/>
    <w:rsid w:val="00A173BB"/>
    <w:rsid w:val="00A45AC0"/>
    <w:rsid w:val="00A609D2"/>
    <w:rsid w:val="00A60E4C"/>
    <w:rsid w:val="00A70ADF"/>
    <w:rsid w:val="00A76A11"/>
    <w:rsid w:val="00A81A8B"/>
    <w:rsid w:val="00A953AE"/>
    <w:rsid w:val="00AA0295"/>
    <w:rsid w:val="00AA1D98"/>
    <w:rsid w:val="00AA392E"/>
    <w:rsid w:val="00AA526E"/>
    <w:rsid w:val="00AB1C7A"/>
    <w:rsid w:val="00AB5F6E"/>
    <w:rsid w:val="00AB7929"/>
    <w:rsid w:val="00AC0FB2"/>
    <w:rsid w:val="00AD0432"/>
    <w:rsid w:val="00AD701E"/>
    <w:rsid w:val="00AD7FBF"/>
    <w:rsid w:val="00AF72F6"/>
    <w:rsid w:val="00B059C6"/>
    <w:rsid w:val="00B05A9C"/>
    <w:rsid w:val="00B122C8"/>
    <w:rsid w:val="00B15D81"/>
    <w:rsid w:val="00B16DCF"/>
    <w:rsid w:val="00B175A7"/>
    <w:rsid w:val="00B24B3D"/>
    <w:rsid w:val="00B264A4"/>
    <w:rsid w:val="00B33C32"/>
    <w:rsid w:val="00B43050"/>
    <w:rsid w:val="00B431BB"/>
    <w:rsid w:val="00B44DA8"/>
    <w:rsid w:val="00B52D3A"/>
    <w:rsid w:val="00B56E5B"/>
    <w:rsid w:val="00B74BFC"/>
    <w:rsid w:val="00B855C4"/>
    <w:rsid w:val="00B8792E"/>
    <w:rsid w:val="00BA2FD2"/>
    <w:rsid w:val="00BA454F"/>
    <w:rsid w:val="00BB0290"/>
    <w:rsid w:val="00BF1CC5"/>
    <w:rsid w:val="00C047C0"/>
    <w:rsid w:val="00C0502F"/>
    <w:rsid w:val="00C1005A"/>
    <w:rsid w:val="00C17D18"/>
    <w:rsid w:val="00C26C32"/>
    <w:rsid w:val="00C336E3"/>
    <w:rsid w:val="00C3403C"/>
    <w:rsid w:val="00C4369F"/>
    <w:rsid w:val="00C56A95"/>
    <w:rsid w:val="00C62780"/>
    <w:rsid w:val="00C6737B"/>
    <w:rsid w:val="00C717EE"/>
    <w:rsid w:val="00C81783"/>
    <w:rsid w:val="00C82D47"/>
    <w:rsid w:val="00CA6997"/>
    <w:rsid w:val="00CC2CB4"/>
    <w:rsid w:val="00CC4277"/>
    <w:rsid w:val="00CC4B7C"/>
    <w:rsid w:val="00CD54E9"/>
    <w:rsid w:val="00CD6209"/>
    <w:rsid w:val="00CD7BEC"/>
    <w:rsid w:val="00CF2282"/>
    <w:rsid w:val="00CF2E66"/>
    <w:rsid w:val="00D121E5"/>
    <w:rsid w:val="00D22735"/>
    <w:rsid w:val="00D3186E"/>
    <w:rsid w:val="00D36BD1"/>
    <w:rsid w:val="00D377B8"/>
    <w:rsid w:val="00D50683"/>
    <w:rsid w:val="00D550DE"/>
    <w:rsid w:val="00D62C7B"/>
    <w:rsid w:val="00D769D5"/>
    <w:rsid w:val="00D85A49"/>
    <w:rsid w:val="00D90486"/>
    <w:rsid w:val="00D94148"/>
    <w:rsid w:val="00DA0A74"/>
    <w:rsid w:val="00DC06D6"/>
    <w:rsid w:val="00DC0BE2"/>
    <w:rsid w:val="00DE4766"/>
    <w:rsid w:val="00DF3374"/>
    <w:rsid w:val="00E006E3"/>
    <w:rsid w:val="00E01FC5"/>
    <w:rsid w:val="00E03142"/>
    <w:rsid w:val="00E03D13"/>
    <w:rsid w:val="00E045C7"/>
    <w:rsid w:val="00E04DD9"/>
    <w:rsid w:val="00E1078B"/>
    <w:rsid w:val="00E122F2"/>
    <w:rsid w:val="00E1287D"/>
    <w:rsid w:val="00E15D78"/>
    <w:rsid w:val="00E201FE"/>
    <w:rsid w:val="00E30F45"/>
    <w:rsid w:val="00E310D1"/>
    <w:rsid w:val="00E4158B"/>
    <w:rsid w:val="00E42876"/>
    <w:rsid w:val="00E44C2D"/>
    <w:rsid w:val="00E55414"/>
    <w:rsid w:val="00E66BF2"/>
    <w:rsid w:val="00E7663C"/>
    <w:rsid w:val="00E76CD3"/>
    <w:rsid w:val="00E957BD"/>
    <w:rsid w:val="00EA66EF"/>
    <w:rsid w:val="00EB346D"/>
    <w:rsid w:val="00EB3CB5"/>
    <w:rsid w:val="00EB5850"/>
    <w:rsid w:val="00EB73AA"/>
    <w:rsid w:val="00EB7B15"/>
    <w:rsid w:val="00ED50D7"/>
    <w:rsid w:val="00EE42A5"/>
    <w:rsid w:val="00EF078D"/>
    <w:rsid w:val="00F0004F"/>
    <w:rsid w:val="00F07611"/>
    <w:rsid w:val="00F07F89"/>
    <w:rsid w:val="00F1168A"/>
    <w:rsid w:val="00F214C4"/>
    <w:rsid w:val="00F31578"/>
    <w:rsid w:val="00F434F2"/>
    <w:rsid w:val="00F55B3A"/>
    <w:rsid w:val="00F61C13"/>
    <w:rsid w:val="00F6293B"/>
    <w:rsid w:val="00F72170"/>
    <w:rsid w:val="00F8726F"/>
    <w:rsid w:val="00F93D04"/>
    <w:rsid w:val="00FC00A8"/>
    <w:rsid w:val="00FC4709"/>
    <w:rsid w:val="00FC7151"/>
    <w:rsid w:val="00FD4F67"/>
    <w:rsid w:val="00FD58F2"/>
    <w:rsid w:val="00FE31A9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19EA777A-6B89-4943-B418-824BE005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7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73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31736"/>
  </w:style>
  <w:style w:type="paragraph" w:styleId="Piedepgina">
    <w:name w:val="footer"/>
    <w:basedOn w:val="Normal"/>
    <w:link w:val="PiedepginaCar"/>
    <w:uiPriority w:val="99"/>
    <w:unhideWhenUsed/>
    <w:rsid w:val="0083173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1736"/>
  </w:style>
  <w:style w:type="paragraph" w:styleId="Textodeglobo">
    <w:name w:val="Balloon Text"/>
    <w:basedOn w:val="Normal"/>
    <w:link w:val="TextodegloboCar"/>
    <w:uiPriority w:val="99"/>
    <w:semiHidden/>
    <w:unhideWhenUsed/>
    <w:rsid w:val="008317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3C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3CCC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6E3C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3CC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E3CCC"/>
    <w:pPr>
      <w:ind w:left="720"/>
      <w:contextualSpacing/>
    </w:pPr>
  </w:style>
  <w:style w:type="paragraph" w:customStyle="1" w:styleId="Default">
    <w:name w:val="Default"/>
    <w:rsid w:val="00B33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rsid w:val="00B33C32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13A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A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AC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A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AC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DA28FBF97CDD4F982C13114B6907C9" ma:contentTypeVersion="2" ma:contentTypeDescription="Crear nuevo documento." ma:contentTypeScope="" ma:versionID="ab126eb38b0081e12ff87711f7c620e1">
  <xsd:schema xmlns:xsd="http://www.w3.org/2001/XMLSchema" xmlns:xs="http://www.w3.org/2001/XMLSchema" xmlns:p="http://schemas.microsoft.com/office/2006/metadata/properties" xmlns:ns1="http://schemas.microsoft.com/sharepoint/v3" xmlns:ns2="c03c497b-3661-4223-b2b5-371bdcde342c" targetNamespace="http://schemas.microsoft.com/office/2006/metadata/properties" ma:root="true" ma:fieldsID="9389d49c4a213d48d1814003f806f631" ns1:_="" ns2:_="">
    <xsd:import namespace="http://schemas.microsoft.com/sharepoint/v3"/>
    <xsd:import namespace="c03c497b-3661-4223-b2b5-371bdcde3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c497b-3661-4223-b2b5-371bdcde3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F56E7-308B-4F4F-BC88-CBF53B631F0C}"/>
</file>

<file path=customXml/itemProps2.xml><?xml version="1.0" encoding="utf-8"?>
<ds:datastoreItem xmlns:ds="http://schemas.openxmlformats.org/officeDocument/2006/customXml" ds:itemID="{80949381-5BFE-4746-843A-D73DAAEAC669}"/>
</file>

<file path=customXml/itemProps3.xml><?xml version="1.0" encoding="utf-8"?>
<ds:datastoreItem xmlns:ds="http://schemas.openxmlformats.org/officeDocument/2006/customXml" ds:itemID="{C8109421-EE57-441F-B3EA-08EB041A69AE}"/>
</file>

<file path=customXml/itemProps4.xml><?xml version="1.0" encoding="utf-8"?>
<ds:datastoreItem xmlns:ds="http://schemas.openxmlformats.org/officeDocument/2006/customXml" ds:itemID="{AF0F1DB7-2A1B-4285-9A61-0BCD42817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2687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Adda Constanza Orjuela Rodriguez</dc:creator>
  <cp:lastModifiedBy>Jorge Alejandro Castellanos Yañez</cp:lastModifiedBy>
  <cp:revision>8</cp:revision>
  <cp:lastPrinted>2016-04-06T20:41:00Z</cp:lastPrinted>
  <dcterms:created xsi:type="dcterms:W3CDTF">2016-04-06T20:22:00Z</dcterms:created>
  <dcterms:modified xsi:type="dcterms:W3CDTF">2016-04-07T20:08:00Z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0x010100CADA28FBF97CDD4F982C13114B6907C9</vt:lpwstr>
  </property>
</Properties>
</file>