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5D5F3E" w:rsidRPr="00680AB8" w:rsidTr="00B841D4">
        <w:tc>
          <w:tcPr>
            <w:tcW w:w="1101" w:type="dxa"/>
            <w:shd w:val="clear" w:color="auto" w:fill="auto"/>
          </w:tcPr>
          <w:p w:rsidR="00D73E21" w:rsidRDefault="00D73E21" w:rsidP="005D5F3E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D73E21" w:rsidRDefault="00D73E21" w:rsidP="005D5F3E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D5F3E" w:rsidRPr="00B01438" w:rsidRDefault="005D5F3E" w:rsidP="005D5F3E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01438">
              <w:rPr>
                <w:rFonts w:ascii="Arial" w:hAnsi="Arial" w:cs="Arial"/>
                <w:sz w:val="18"/>
                <w:szCs w:val="18"/>
                <w:lang w:val="es-CO"/>
              </w:rPr>
              <w:t>200.</w:t>
            </w:r>
            <w:r w:rsidR="004D3C17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C01437" w:rsidRPr="00B01438" w:rsidRDefault="00C01437" w:rsidP="00C01437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B01438">
              <w:rPr>
                <w:rFonts w:ascii="Arial" w:hAnsi="Arial" w:cs="Arial"/>
                <w:sz w:val="18"/>
                <w:szCs w:val="18"/>
                <w:lang w:val="es-CO"/>
              </w:rPr>
              <w:t>200.</w:t>
            </w:r>
            <w:r w:rsidR="004D3C17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  <w:r w:rsidRPr="00B01438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001022" w:rsidRPr="00B01438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C01437" w:rsidRPr="005E3F97" w:rsidRDefault="00C01437" w:rsidP="00B841D4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D73E21" w:rsidRDefault="00D73E21" w:rsidP="00E31B6E">
            <w:pPr>
              <w:rPr>
                <w:rFonts w:ascii="Arial" w:hAnsi="Arial" w:cs="Arial"/>
                <w:b/>
                <w:lang w:val="es-CO"/>
              </w:rPr>
            </w:pPr>
          </w:p>
          <w:p w:rsidR="005D5F3E" w:rsidRDefault="005D5F3E" w:rsidP="00E31B6E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ACCIONES CONTITUCIONALES </w:t>
            </w:r>
          </w:p>
          <w:p w:rsidR="005D5F3E" w:rsidRDefault="005D5F3E" w:rsidP="00E31B6E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Acciones de tutela</w:t>
            </w:r>
          </w:p>
          <w:p w:rsidR="005D5F3E" w:rsidRDefault="005D5F3E" w:rsidP="00CE43C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217EC">
              <w:rPr>
                <w:rFonts w:ascii="Arial" w:hAnsi="Arial" w:cs="Arial"/>
              </w:rPr>
              <w:t>Comunicación de la tutela</w:t>
            </w:r>
          </w:p>
          <w:p w:rsidR="002B49B4" w:rsidRPr="00E217EC" w:rsidRDefault="002B49B4" w:rsidP="00CE43C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Tutela </w:t>
            </w:r>
          </w:p>
          <w:p w:rsidR="005D5F3E" w:rsidRPr="00E217EC" w:rsidRDefault="005D5F3E" w:rsidP="00CE43C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217EC">
              <w:rPr>
                <w:rFonts w:ascii="Arial" w:hAnsi="Arial" w:cs="Arial"/>
              </w:rPr>
              <w:t>Contestación</w:t>
            </w:r>
          </w:p>
          <w:p w:rsidR="005D5F3E" w:rsidRPr="00E217EC" w:rsidRDefault="005D5F3E" w:rsidP="00CE43C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217EC">
              <w:rPr>
                <w:rFonts w:ascii="Arial" w:hAnsi="Arial" w:cs="Arial"/>
              </w:rPr>
              <w:t>Impugnación</w:t>
            </w:r>
          </w:p>
          <w:p w:rsidR="005D5F3E" w:rsidRDefault="005D5F3E" w:rsidP="00CE43C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lang w:val="es-CO"/>
              </w:rPr>
            </w:pPr>
            <w:r w:rsidRPr="00E217EC">
              <w:rPr>
                <w:rFonts w:ascii="Arial" w:hAnsi="Arial" w:cs="Arial"/>
              </w:rPr>
              <w:t>Fallo</w:t>
            </w:r>
          </w:p>
        </w:tc>
        <w:tc>
          <w:tcPr>
            <w:tcW w:w="709" w:type="dxa"/>
            <w:shd w:val="clear" w:color="auto" w:fill="auto"/>
          </w:tcPr>
          <w:p w:rsidR="00001022" w:rsidRDefault="00001022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D3C17" w:rsidRDefault="004D3C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5D5F3E" w:rsidP="00B83C6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01022" w:rsidRDefault="00001022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D3C17" w:rsidRDefault="004D3C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C166FD" w:rsidP="00B83C6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5F3E" w:rsidRPr="00680AB8" w:rsidRDefault="005D5F3E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01022" w:rsidRDefault="00001022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5D5F3E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A13706" w:rsidRDefault="00A13706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D3C17" w:rsidRDefault="004D3C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A13706" w:rsidP="00B83C6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01022" w:rsidRDefault="00001022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5D5F3E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01022" w:rsidRDefault="00001022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D3C17" w:rsidRDefault="004D3C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5D5F3E" w:rsidP="00B83C6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D5F3E" w:rsidRPr="00680AB8" w:rsidRDefault="005D5F3E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001022" w:rsidRDefault="00001022" w:rsidP="00965470">
            <w:pPr>
              <w:rPr>
                <w:rFonts w:ascii="Arial" w:hAnsi="Arial" w:cs="Arial"/>
                <w:lang w:val="es-CO"/>
              </w:rPr>
            </w:pPr>
          </w:p>
          <w:p w:rsidR="004D3C17" w:rsidRDefault="004D3C17" w:rsidP="00965470">
            <w:pPr>
              <w:rPr>
                <w:rFonts w:ascii="Arial" w:hAnsi="Arial" w:cs="Arial"/>
                <w:lang w:val="es-CO"/>
              </w:rPr>
            </w:pPr>
          </w:p>
          <w:p w:rsidR="002E3F7F" w:rsidRPr="003205E4" w:rsidRDefault="005A7832" w:rsidP="003205E4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Subserie que permite pedir la protección de un derecho fundamental protegido por la constitución. </w:t>
            </w:r>
            <w:r w:rsidR="000661F2">
              <w:rPr>
                <w:rFonts w:ascii="Arial" w:hAnsi="Arial" w:cs="Arial"/>
                <w:lang w:val="es-CO"/>
              </w:rPr>
              <w:t xml:space="preserve">Generado el fallo y terminado el tiempo de retención </w:t>
            </w:r>
            <w:r>
              <w:rPr>
                <w:rFonts w:ascii="Arial" w:hAnsi="Arial" w:cs="Arial"/>
                <w:lang w:val="es-CO"/>
              </w:rPr>
              <w:t xml:space="preserve">en el </w:t>
            </w:r>
            <w:r w:rsidR="00D73E21">
              <w:rPr>
                <w:rFonts w:ascii="Arial" w:hAnsi="Arial" w:cs="Arial"/>
                <w:lang w:val="es-CO"/>
              </w:rPr>
              <w:t>archivo</w:t>
            </w:r>
            <w:r>
              <w:rPr>
                <w:rFonts w:ascii="Arial" w:hAnsi="Arial" w:cs="Arial"/>
                <w:lang w:val="es-CO"/>
              </w:rPr>
              <w:t xml:space="preserve"> central, se </w:t>
            </w:r>
            <w:r w:rsidR="00D73E21">
              <w:rPr>
                <w:rFonts w:ascii="Arial" w:hAnsi="Arial" w:cs="Arial"/>
                <w:lang w:val="es-CO"/>
              </w:rPr>
              <w:t>realizará</w:t>
            </w:r>
            <w:r>
              <w:rPr>
                <w:rFonts w:ascii="Arial" w:hAnsi="Arial" w:cs="Arial"/>
                <w:lang w:val="es-CO"/>
              </w:rPr>
              <w:t xml:space="preserve"> una selección aleatoria del 1</w:t>
            </w:r>
            <w:r w:rsidR="00B166C9">
              <w:rPr>
                <w:rFonts w:ascii="Arial" w:hAnsi="Arial" w:cs="Arial"/>
                <w:lang w:val="es-CO"/>
              </w:rPr>
              <w:t>5</w:t>
            </w:r>
            <w:r>
              <w:rPr>
                <w:rFonts w:ascii="Arial" w:hAnsi="Arial" w:cs="Arial"/>
                <w:lang w:val="es-CO"/>
              </w:rPr>
              <w:t>% del total de la documentación como evidencia de las acciones constitucionales desarrolladas por la entidad. Se debe garantizar su digitalización para el aseguramiento de la información y posteriores consultas.</w:t>
            </w:r>
            <w:r w:rsidR="003205E4">
              <w:rPr>
                <w:rFonts w:ascii="Arial" w:hAnsi="Arial" w:cs="Arial"/>
                <w:lang w:val="es-CO"/>
              </w:rPr>
              <w:t xml:space="preserve">  De acuerdo con las siguientes normas; </w:t>
            </w:r>
            <w:r w:rsidR="003205E4" w:rsidRPr="003205E4">
              <w:rPr>
                <w:rFonts w:ascii="Arial" w:hAnsi="Arial" w:cs="Arial"/>
                <w:lang w:val="es-CO"/>
              </w:rPr>
              <w:t>Constitución Política de la República de Colombia. Bogotá: 1991. Artículo 86.</w:t>
            </w:r>
            <w:r w:rsidR="003205E4">
              <w:rPr>
                <w:rFonts w:ascii="Arial" w:hAnsi="Arial" w:cs="Arial"/>
                <w:lang w:val="es-CO"/>
              </w:rPr>
              <w:t xml:space="preserve"> </w:t>
            </w:r>
            <w:r w:rsidR="003205E4" w:rsidRPr="003205E4">
              <w:rPr>
                <w:rFonts w:ascii="Arial" w:hAnsi="Arial" w:cs="Arial"/>
                <w:lang w:val="es-CO"/>
              </w:rPr>
              <w:t xml:space="preserve">CONGRESO DE LA REPÚBLICA. Decreto 2591 (19, noviembre, 1991) Por el cual se reglamenta la acción de </w:t>
            </w:r>
            <w:r w:rsidR="003205E4" w:rsidRPr="003205E4">
              <w:rPr>
                <w:rFonts w:ascii="Arial" w:hAnsi="Arial" w:cs="Arial"/>
                <w:lang w:val="es-CO"/>
              </w:rPr>
              <w:lastRenderedPageBreak/>
              <w:t>tutela consagrada en el artículo 86 de la Constitución Política. Bogotá: 1991.</w:t>
            </w:r>
            <w:r w:rsidR="003205E4">
              <w:rPr>
                <w:rFonts w:ascii="Arial" w:hAnsi="Arial" w:cs="Arial"/>
                <w:lang w:val="es-CO"/>
              </w:rPr>
              <w:t xml:space="preserve"> </w:t>
            </w:r>
            <w:r w:rsidR="003205E4" w:rsidRPr="003205E4">
              <w:rPr>
                <w:rFonts w:ascii="Arial" w:hAnsi="Arial" w:cs="Arial"/>
                <w:lang w:val="es-CO"/>
              </w:rPr>
              <w:t>CONGRESO DE LA REPÚBLICA. Decreto 306 (19, febrero, 1992) Por el cual se reglamenta el Decreto 2591 de 1991. Bogotá: 1992.</w:t>
            </w:r>
          </w:p>
          <w:p w:rsidR="00D73E21" w:rsidRDefault="00D73E21" w:rsidP="004A090D">
            <w:pPr>
              <w:rPr>
                <w:rFonts w:ascii="Arial" w:hAnsi="Arial" w:cs="Arial"/>
                <w:lang w:val="es-CO"/>
              </w:rPr>
            </w:pPr>
          </w:p>
        </w:tc>
      </w:tr>
      <w:tr w:rsidR="005D5F3E" w:rsidRPr="00680AB8" w:rsidTr="00B841D4">
        <w:tc>
          <w:tcPr>
            <w:tcW w:w="1101" w:type="dxa"/>
            <w:shd w:val="clear" w:color="auto" w:fill="auto"/>
          </w:tcPr>
          <w:p w:rsidR="00D73E21" w:rsidRDefault="00D73E21" w:rsidP="00B841D4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9C7D5A" w:rsidRDefault="009C7D5A" w:rsidP="00B841D4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D5F3E" w:rsidRPr="00ED577D" w:rsidRDefault="00C01437" w:rsidP="00B841D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D577D">
              <w:rPr>
                <w:rFonts w:ascii="Arial" w:hAnsi="Arial" w:cs="Arial"/>
                <w:sz w:val="18"/>
                <w:szCs w:val="18"/>
                <w:lang w:val="es-CO"/>
              </w:rPr>
              <w:t>200.</w:t>
            </w:r>
            <w:r w:rsidR="00F556BB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</w:p>
          <w:p w:rsidR="005D5F3E" w:rsidRPr="00ED577D" w:rsidRDefault="00C01437" w:rsidP="00001022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ED577D">
              <w:rPr>
                <w:rFonts w:ascii="Arial" w:hAnsi="Arial" w:cs="Arial"/>
                <w:sz w:val="18"/>
                <w:szCs w:val="18"/>
                <w:lang w:val="es-CO"/>
              </w:rPr>
              <w:t>200.</w:t>
            </w:r>
            <w:r w:rsidR="00F556BB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  <w:r w:rsidRPr="00ED577D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246B68" w:rsidRPr="00ED577D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001022" w:rsidRPr="00C01437" w:rsidRDefault="00001022" w:rsidP="00001022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D73E21" w:rsidRDefault="00D73E21" w:rsidP="00E31B6E">
            <w:pPr>
              <w:rPr>
                <w:rFonts w:ascii="Arial" w:hAnsi="Arial" w:cs="Arial"/>
                <w:b/>
                <w:lang w:val="es-CO"/>
              </w:rPr>
            </w:pPr>
          </w:p>
          <w:p w:rsidR="005D5F3E" w:rsidRDefault="005D5F3E" w:rsidP="00E31B6E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ACTAS</w:t>
            </w:r>
          </w:p>
          <w:p w:rsidR="005D5F3E" w:rsidRDefault="005D5F3E" w:rsidP="00E31B6E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Actas Comité Conciliación</w:t>
            </w:r>
          </w:p>
          <w:p w:rsidR="00001022" w:rsidRPr="00A13706" w:rsidRDefault="005D5F3E" w:rsidP="00A13706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lang w:val="es-CO"/>
              </w:rPr>
            </w:pPr>
            <w:r w:rsidRPr="00742C2A">
              <w:rPr>
                <w:rFonts w:ascii="Arial" w:hAnsi="Arial" w:cs="Arial"/>
                <w:lang w:val="es-CO"/>
              </w:rPr>
              <w:t xml:space="preserve">Actas </w:t>
            </w:r>
          </w:p>
          <w:p w:rsidR="005D5F3E" w:rsidRDefault="005D5F3E" w:rsidP="00564BA1">
            <w:pPr>
              <w:rPr>
                <w:rFonts w:ascii="Arial" w:hAnsi="Arial" w:cs="Arial"/>
                <w:b/>
              </w:rPr>
            </w:pPr>
          </w:p>
          <w:p w:rsidR="002B49B4" w:rsidRDefault="002B49B4" w:rsidP="00564BA1">
            <w:pPr>
              <w:rPr>
                <w:rFonts w:ascii="Arial" w:hAnsi="Arial" w:cs="Arial"/>
                <w:b/>
              </w:rPr>
            </w:pPr>
          </w:p>
          <w:p w:rsidR="002B49B4" w:rsidRDefault="002B49B4" w:rsidP="00564BA1">
            <w:pPr>
              <w:rPr>
                <w:rFonts w:ascii="Arial" w:hAnsi="Arial" w:cs="Arial"/>
                <w:b/>
              </w:rPr>
            </w:pPr>
          </w:p>
          <w:p w:rsidR="002B49B4" w:rsidRDefault="002B49B4" w:rsidP="00564BA1">
            <w:pPr>
              <w:rPr>
                <w:rFonts w:ascii="Arial" w:hAnsi="Arial" w:cs="Arial"/>
                <w:b/>
              </w:rPr>
            </w:pPr>
          </w:p>
          <w:p w:rsidR="002B49B4" w:rsidRDefault="002B49B4" w:rsidP="00564BA1">
            <w:pPr>
              <w:rPr>
                <w:rFonts w:ascii="Arial" w:hAnsi="Arial" w:cs="Arial"/>
                <w:b/>
              </w:rPr>
            </w:pPr>
          </w:p>
          <w:p w:rsidR="00001022" w:rsidRDefault="00001022" w:rsidP="00564BA1">
            <w:pPr>
              <w:rPr>
                <w:rFonts w:ascii="Arial" w:hAnsi="Arial" w:cs="Arial"/>
                <w:b/>
              </w:rPr>
            </w:pPr>
          </w:p>
          <w:p w:rsidR="00FF332D" w:rsidRPr="00723894" w:rsidRDefault="00FF332D" w:rsidP="00FE4EDC">
            <w:pPr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Pr="00680AB8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18</w:t>
            </w: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Pr="00680AB8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EDC" w:rsidRDefault="00FE4EDC" w:rsidP="00FD4C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5D5F3E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Pr="00680AB8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5D5F3E" w:rsidRPr="00680AB8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A13706" w:rsidRDefault="00A13706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13706" w:rsidRDefault="00A13706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13706" w:rsidRDefault="00A13706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A13706" w:rsidRPr="00680AB8" w:rsidRDefault="00A13706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Pr="00680AB8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001022" w:rsidRDefault="00001022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F332D" w:rsidRPr="00680AB8" w:rsidRDefault="00FF332D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FE4EDC" w:rsidRDefault="00FE4EDC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FE4EDC" w:rsidRDefault="00FE4EDC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FE4EDC" w:rsidP="00FD4C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:rsidR="00001022" w:rsidRDefault="00001022" w:rsidP="002E3F7F">
            <w:pPr>
              <w:rPr>
                <w:rFonts w:ascii="Arial" w:hAnsi="Arial" w:cs="Arial"/>
                <w:lang w:val="es-CO"/>
              </w:rPr>
            </w:pPr>
          </w:p>
          <w:p w:rsidR="00001022" w:rsidRDefault="00001022" w:rsidP="002E3F7F">
            <w:pPr>
              <w:rPr>
                <w:rFonts w:ascii="Arial" w:hAnsi="Arial" w:cs="Arial"/>
                <w:lang w:val="es-CO"/>
              </w:rPr>
            </w:pPr>
          </w:p>
          <w:p w:rsidR="002E3F7F" w:rsidRDefault="00FE4EDC" w:rsidP="00F556BB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Subserie documental que refleja las actuaciones del comité encargado de estudiar, evaluar, los procesos que cursen o hayan cursado en contra de la entidad. Constituyen parte de la memoria institucional porque reflejan decisiones administrativas propias de la Unidad Nacional de Protección</w:t>
            </w:r>
            <w:r w:rsidR="00305459">
              <w:rPr>
                <w:rFonts w:ascii="Arial" w:hAnsi="Arial" w:cs="Arial"/>
                <w:lang w:val="es-CO"/>
              </w:rPr>
              <w:t xml:space="preserve">.  </w:t>
            </w:r>
            <w:r w:rsidR="00184ECD">
              <w:rPr>
                <w:rFonts w:ascii="Arial" w:hAnsi="Arial" w:cs="Arial"/>
                <w:lang w:val="es-CO"/>
              </w:rPr>
              <w:t>Se deben conservar en su soporte original (físico),</w:t>
            </w:r>
            <w:r>
              <w:rPr>
                <w:rFonts w:ascii="Arial" w:hAnsi="Arial" w:cs="Arial"/>
                <w:lang w:val="es-CO"/>
              </w:rPr>
              <w:t xml:space="preserve"> por considerarse parte de la memoria institucional por lo cual se debe garantizar su </w:t>
            </w:r>
            <w:r>
              <w:rPr>
                <w:rFonts w:ascii="Arial" w:hAnsi="Arial" w:cs="Arial"/>
                <w:lang w:val="es-CO"/>
              </w:rPr>
              <w:lastRenderedPageBreak/>
              <w:t>digitalización para el aseguramiento de la información y para posteriores consultas.</w:t>
            </w:r>
            <w:r w:rsidR="00305459">
              <w:rPr>
                <w:rFonts w:ascii="Arial" w:hAnsi="Arial" w:cs="Arial"/>
                <w:lang w:val="es-CO"/>
              </w:rPr>
              <w:t xml:space="preserve">  De acuerdo con la</w:t>
            </w:r>
            <w:r w:rsidR="00977019">
              <w:rPr>
                <w:rFonts w:ascii="Arial" w:hAnsi="Arial" w:cs="Arial"/>
                <w:lang w:val="es-CO"/>
              </w:rPr>
              <w:t xml:space="preserve"> siguiente</w:t>
            </w:r>
            <w:r w:rsidR="00305459">
              <w:rPr>
                <w:rFonts w:ascii="Arial" w:hAnsi="Arial" w:cs="Arial"/>
                <w:lang w:val="es-CO"/>
              </w:rPr>
              <w:t xml:space="preserve"> norma,</w:t>
            </w:r>
            <w:r w:rsidR="00305459">
              <w:t xml:space="preserve"> </w:t>
            </w:r>
            <w:r w:rsidR="00305459" w:rsidRPr="00305459">
              <w:rPr>
                <w:rFonts w:ascii="Arial" w:hAnsi="Arial" w:cs="Arial"/>
                <w:lang w:val="es-CO"/>
              </w:rPr>
              <w:t>UNIDAD NACIONAL DE PROTECCIÓN. Resolución 074 de 2012, por la cual se conforma el Comité de Conciliación de la Unidad Nacional de Protección.</w:t>
            </w:r>
          </w:p>
          <w:p w:rsidR="005D5F3E" w:rsidRPr="00965470" w:rsidRDefault="005D5F3E" w:rsidP="00FF332D">
            <w:pPr>
              <w:rPr>
                <w:rFonts w:ascii="Arial" w:hAnsi="Arial" w:cs="Arial"/>
              </w:rPr>
            </w:pPr>
          </w:p>
        </w:tc>
      </w:tr>
      <w:tr w:rsidR="005D5F3E" w:rsidRPr="00680AB8" w:rsidTr="00B841D4">
        <w:tc>
          <w:tcPr>
            <w:tcW w:w="1101" w:type="dxa"/>
            <w:shd w:val="clear" w:color="auto" w:fill="auto"/>
          </w:tcPr>
          <w:p w:rsidR="00D73E21" w:rsidRDefault="00D73E21" w:rsidP="00B841D4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D5F3E" w:rsidRPr="00F74788" w:rsidRDefault="00C01437" w:rsidP="00B841D4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F74788">
              <w:rPr>
                <w:rFonts w:ascii="Arial" w:hAnsi="Arial" w:cs="Arial"/>
                <w:sz w:val="18"/>
                <w:szCs w:val="18"/>
                <w:lang w:val="es-CO"/>
              </w:rPr>
              <w:t>200.</w:t>
            </w:r>
            <w:r w:rsidR="00ED0923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</w:p>
          <w:p w:rsidR="005D5F3E" w:rsidRPr="00680AB8" w:rsidRDefault="005D5F3E" w:rsidP="0037633D">
            <w:pPr>
              <w:jc w:val="center"/>
              <w:rPr>
                <w:rFonts w:ascii="Arial" w:hAnsi="Arial" w:cs="Arial"/>
                <w:lang w:val="es-CO"/>
              </w:rPr>
            </w:pPr>
            <w:r w:rsidRPr="00F74788">
              <w:rPr>
                <w:rFonts w:ascii="Arial" w:hAnsi="Arial" w:cs="Arial"/>
                <w:sz w:val="18"/>
                <w:szCs w:val="18"/>
                <w:lang w:val="es-CO"/>
              </w:rPr>
              <w:t>200.</w:t>
            </w:r>
            <w:r w:rsidR="00ED0923">
              <w:rPr>
                <w:rFonts w:ascii="Arial" w:hAnsi="Arial" w:cs="Arial"/>
                <w:sz w:val="18"/>
                <w:szCs w:val="18"/>
                <w:lang w:val="es-CO"/>
              </w:rPr>
              <w:t>3</w:t>
            </w:r>
            <w:r w:rsidR="0037633D" w:rsidRPr="00F74788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:rsidR="00D73E21" w:rsidRDefault="00D73E21" w:rsidP="00564BA1">
            <w:pPr>
              <w:rPr>
                <w:rFonts w:ascii="Arial" w:hAnsi="Arial" w:cs="Arial"/>
                <w:b/>
              </w:rPr>
            </w:pPr>
          </w:p>
          <w:p w:rsidR="005D5F3E" w:rsidRDefault="005D5F3E" w:rsidP="00564BA1">
            <w:pPr>
              <w:rPr>
                <w:rFonts w:ascii="Arial" w:hAnsi="Arial" w:cs="Arial"/>
                <w:b/>
              </w:rPr>
            </w:pPr>
            <w:r w:rsidRPr="00723894">
              <w:rPr>
                <w:rFonts w:ascii="Arial" w:hAnsi="Arial" w:cs="Arial"/>
                <w:b/>
              </w:rPr>
              <w:t>CONCEPTOS</w:t>
            </w:r>
          </w:p>
          <w:p w:rsidR="005D5F3E" w:rsidRDefault="005D5F3E" w:rsidP="00564BA1">
            <w:pPr>
              <w:rPr>
                <w:rFonts w:ascii="Arial" w:hAnsi="Arial" w:cs="Arial"/>
                <w:b/>
              </w:rPr>
            </w:pPr>
            <w:r w:rsidRPr="00723894">
              <w:rPr>
                <w:rFonts w:ascii="Arial" w:hAnsi="Arial" w:cs="Arial"/>
                <w:b/>
              </w:rPr>
              <w:t>Conceptos Jurídicos</w:t>
            </w:r>
          </w:p>
          <w:p w:rsidR="005D5F3E" w:rsidRDefault="005D5F3E" w:rsidP="00564BA1">
            <w:pPr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D24374">
              <w:rPr>
                <w:rFonts w:ascii="Arial" w:hAnsi="Arial" w:cs="Arial"/>
              </w:rPr>
              <w:t>Solicitud de concepto</w:t>
            </w:r>
          </w:p>
          <w:p w:rsidR="005D5F3E" w:rsidRDefault="005D5F3E" w:rsidP="0037633D">
            <w:pPr>
              <w:numPr>
                <w:ilvl w:val="0"/>
                <w:numId w:val="30"/>
              </w:numPr>
              <w:rPr>
                <w:rFonts w:ascii="Arial" w:hAnsi="Arial" w:cs="Arial"/>
                <w:lang w:val="es-CO"/>
              </w:rPr>
            </w:pPr>
            <w:r w:rsidRPr="00D24374">
              <w:rPr>
                <w:rFonts w:ascii="Arial" w:hAnsi="Arial" w:cs="Arial"/>
              </w:rPr>
              <w:t>Concepto jurídico</w:t>
            </w:r>
            <w:r>
              <w:rPr>
                <w:rFonts w:ascii="Arial" w:hAnsi="Arial" w:cs="Arial"/>
                <w:lang w:val="es-CO"/>
              </w:rPr>
              <w:t xml:space="preserve"> </w:t>
            </w:r>
          </w:p>
          <w:p w:rsidR="005D5F3E" w:rsidRDefault="005D5F3E" w:rsidP="00564BA1">
            <w:pPr>
              <w:ind w:left="720"/>
              <w:rPr>
                <w:rFonts w:ascii="Arial" w:hAnsi="Arial" w:cs="Arial"/>
                <w:lang w:val="es-CO"/>
              </w:rPr>
            </w:pPr>
          </w:p>
          <w:p w:rsidR="002B49B4" w:rsidRDefault="002B49B4" w:rsidP="00564BA1">
            <w:pPr>
              <w:ind w:left="720"/>
              <w:rPr>
                <w:rFonts w:ascii="Arial" w:hAnsi="Arial" w:cs="Arial"/>
                <w:lang w:val="es-CO"/>
              </w:rPr>
            </w:pPr>
          </w:p>
          <w:p w:rsidR="002B49B4" w:rsidRDefault="002B49B4" w:rsidP="00564BA1">
            <w:pPr>
              <w:ind w:left="720"/>
              <w:rPr>
                <w:rFonts w:ascii="Arial" w:hAnsi="Arial" w:cs="Arial"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D73E21" w:rsidRDefault="00D73E21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3693E" w:rsidRDefault="002369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3E21" w:rsidRDefault="00D73E21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3693E" w:rsidRDefault="002369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D5F3E" w:rsidRPr="00680AB8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5D5F3E" w:rsidRPr="00680AB8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D73E21" w:rsidRDefault="00D73E21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3693E" w:rsidRDefault="002369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2B49B4" w:rsidP="00FD4C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5D5F3E" w:rsidRPr="00680AB8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D73E21" w:rsidRDefault="00D73E21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23693E" w:rsidRDefault="002369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D5F3E" w:rsidRPr="00680AB8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5D5F3E" w:rsidRPr="00680AB8" w:rsidRDefault="005D5F3E" w:rsidP="00FD4CD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D73E21" w:rsidRDefault="00D73E21" w:rsidP="002D4DEA">
            <w:pPr>
              <w:rPr>
                <w:rFonts w:ascii="Arial" w:hAnsi="Arial" w:cs="Arial"/>
                <w:lang w:val="es-CO"/>
              </w:rPr>
            </w:pPr>
          </w:p>
          <w:p w:rsidR="0023693E" w:rsidRDefault="0023693E" w:rsidP="002D4DEA">
            <w:pPr>
              <w:rPr>
                <w:rFonts w:ascii="Arial" w:hAnsi="Arial" w:cs="Arial"/>
                <w:lang w:val="es-CO"/>
              </w:rPr>
            </w:pPr>
          </w:p>
          <w:p w:rsidR="00D73E21" w:rsidRDefault="007064CE" w:rsidP="003E5C98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Subserie documental que evidencia los conceptos jurídicos emitidos por la entidad en materia de prevención, protección o gestión administrativa. Finalizado el tiempo de retención en el archivo central se selecciona el 1</w:t>
            </w:r>
            <w:r w:rsidR="00617DEE">
              <w:rPr>
                <w:rFonts w:ascii="Arial" w:hAnsi="Arial" w:cs="Arial"/>
                <w:lang w:val="es-CO"/>
              </w:rPr>
              <w:t>5</w:t>
            </w:r>
            <w:r>
              <w:rPr>
                <w:rFonts w:ascii="Arial" w:hAnsi="Arial" w:cs="Arial"/>
                <w:lang w:val="es-CO"/>
              </w:rPr>
              <w:t xml:space="preserve">% de la totalidad de la documentación de manera aleatoria. Se debe garantizar su digitalización </w:t>
            </w:r>
            <w:r>
              <w:rPr>
                <w:rFonts w:ascii="Arial" w:hAnsi="Arial" w:cs="Arial"/>
                <w:lang w:val="es-CO"/>
              </w:rPr>
              <w:lastRenderedPageBreak/>
              <w:t>para el aseguramiento de la información y posteriores consultas.</w:t>
            </w:r>
            <w:r w:rsidR="003E5C98">
              <w:rPr>
                <w:rFonts w:ascii="Arial" w:hAnsi="Arial" w:cs="Arial"/>
                <w:lang w:val="es-CO"/>
              </w:rPr>
              <w:t xml:space="preserve"> De acuerdo con la siguiente norma; </w:t>
            </w:r>
            <w:r w:rsidR="003E5C98" w:rsidRPr="003E5C98">
              <w:rPr>
                <w:rFonts w:ascii="Arial" w:hAnsi="Arial" w:cs="Arial"/>
                <w:lang w:val="es-CO"/>
              </w:rPr>
              <w:t>CONSEJO DE ESTADO. SALA DE LO</w:t>
            </w:r>
            <w:r w:rsidR="003E5C98">
              <w:rPr>
                <w:rFonts w:ascii="Arial" w:hAnsi="Arial" w:cs="Arial"/>
                <w:lang w:val="es-CO"/>
              </w:rPr>
              <w:t xml:space="preserve"> </w:t>
            </w:r>
            <w:r w:rsidR="003E5C98" w:rsidRPr="003E5C98">
              <w:rPr>
                <w:rFonts w:ascii="Arial" w:hAnsi="Arial" w:cs="Arial"/>
                <w:lang w:val="es-CO"/>
              </w:rPr>
              <w:t>CONTENCIOSO</w:t>
            </w:r>
            <w:r w:rsidR="003E5C98">
              <w:rPr>
                <w:rFonts w:ascii="Arial" w:hAnsi="Arial" w:cs="Arial"/>
                <w:lang w:val="es-CO"/>
              </w:rPr>
              <w:t xml:space="preserve"> </w:t>
            </w:r>
            <w:r w:rsidR="003E5C98" w:rsidRPr="003E5C98">
              <w:rPr>
                <w:rFonts w:ascii="Arial" w:hAnsi="Arial" w:cs="Arial"/>
                <w:lang w:val="es-CO"/>
              </w:rPr>
              <w:t>ADMINISTRATIVO.</w:t>
            </w:r>
            <w:r w:rsidR="00184ECD">
              <w:rPr>
                <w:rFonts w:ascii="Arial" w:hAnsi="Arial" w:cs="Arial"/>
                <w:lang w:val="es-CO"/>
              </w:rPr>
              <w:t xml:space="preserve"> </w:t>
            </w:r>
            <w:r w:rsidR="003E5C98" w:rsidRPr="003E5C98">
              <w:rPr>
                <w:rFonts w:ascii="Arial" w:hAnsi="Arial" w:cs="Arial"/>
                <w:lang w:val="es-CO"/>
              </w:rPr>
              <w:t>Sección Primera. Sentencia de abril 22 de 2010. Radicado: 11001 0324 000 2007 00050 01.</w:t>
            </w:r>
          </w:p>
          <w:p w:rsidR="00D73E21" w:rsidRPr="00680AB8" w:rsidRDefault="00D73E21" w:rsidP="002D4DEA">
            <w:pPr>
              <w:rPr>
                <w:rFonts w:ascii="Arial" w:hAnsi="Arial" w:cs="Arial"/>
                <w:lang w:val="es-CO"/>
              </w:rPr>
            </w:pPr>
          </w:p>
        </w:tc>
      </w:tr>
      <w:tr w:rsidR="002B49B4" w:rsidRPr="00680AB8" w:rsidTr="00B83C67">
        <w:tc>
          <w:tcPr>
            <w:tcW w:w="1101" w:type="dxa"/>
            <w:shd w:val="clear" w:color="auto" w:fill="auto"/>
          </w:tcPr>
          <w:p w:rsidR="00D73E21" w:rsidRDefault="00D73E21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D73E21" w:rsidRDefault="00D73E21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Pr="00CA1D50" w:rsidRDefault="002B49B4" w:rsidP="00B83C67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A1D50">
              <w:rPr>
                <w:rFonts w:ascii="Arial" w:hAnsi="Arial" w:cs="Arial"/>
                <w:sz w:val="18"/>
                <w:szCs w:val="18"/>
                <w:lang w:val="es-CO"/>
              </w:rPr>
              <w:t>200.</w:t>
            </w:r>
            <w:r w:rsidR="00B32D59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</w:p>
          <w:p w:rsidR="002B49B4" w:rsidRPr="00CA1D50" w:rsidRDefault="00436092" w:rsidP="00B83C67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A1D50">
              <w:rPr>
                <w:rFonts w:ascii="Arial" w:hAnsi="Arial" w:cs="Arial"/>
                <w:sz w:val="18"/>
                <w:szCs w:val="18"/>
                <w:lang w:val="es-CO"/>
              </w:rPr>
              <w:t>200.</w:t>
            </w:r>
            <w:r w:rsidR="00B32D59">
              <w:rPr>
                <w:rFonts w:ascii="Arial" w:hAnsi="Arial" w:cs="Arial"/>
                <w:sz w:val="18"/>
                <w:szCs w:val="18"/>
                <w:lang w:val="es-CO"/>
              </w:rPr>
              <w:t>4</w:t>
            </w:r>
            <w:r w:rsidR="005745E0" w:rsidRPr="00CA1D50">
              <w:rPr>
                <w:rFonts w:ascii="Arial" w:hAnsi="Arial" w:cs="Arial"/>
                <w:sz w:val="18"/>
                <w:szCs w:val="18"/>
                <w:lang w:val="es-CO"/>
              </w:rPr>
              <w:t>.</w:t>
            </w:r>
            <w:r w:rsidR="0060124B" w:rsidRPr="00CA1D50">
              <w:rPr>
                <w:rFonts w:ascii="Arial" w:hAnsi="Arial" w:cs="Arial"/>
                <w:sz w:val="18"/>
                <w:szCs w:val="18"/>
                <w:lang w:val="es-CO"/>
              </w:rPr>
              <w:t>1</w:t>
            </w:r>
          </w:p>
          <w:p w:rsidR="002B49B4" w:rsidRDefault="002B49B4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Default="002B49B4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Default="002B49B4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Default="002B49B4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Default="002B49B4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Default="002B49B4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Default="002B49B4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Default="002B49B4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Default="002B49B4" w:rsidP="00B83C67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2B49B4" w:rsidRDefault="002B49B4" w:rsidP="005745E0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745E0" w:rsidRDefault="005745E0" w:rsidP="005745E0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745E0" w:rsidRDefault="005745E0" w:rsidP="005745E0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745E0" w:rsidRDefault="005745E0" w:rsidP="005745E0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745E0" w:rsidRDefault="005745E0" w:rsidP="005745E0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745E0" w:rsidRDefault="005745E0" w:rsidP="005745E0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745E0" w:rsidRDefault="005745E0" w:rsidP="005745E0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745E0" w:rsidRDefault="005745E0" w:rsidP="005745E0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5745E0" w:rsidRPr="00680AB8" w:rsidRDefault="005745E0" w:rsidP="0052505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D73E21" w:rsidRDefault="00D73E21" w:rsidP="0014252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  <w:p w:rsidR="00142524" w:rsidRDefault="00142524" w:rsidP="0014252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INFORMES</w:t>
            </w:r>
          </w:p>
          <w:p w:rsidR="005745E0" w:rsidRDefault="005745E0" w:rsidP="005745E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  <w:r w:rsidRPr="005745E0">
              <w:rPr>
                <w:rFonts w:ascii="Arial" w:hAnsi="Arial" w:cs="Arial"/>
                <w:b/>
              </w:rPr>
              <w:t>Informes de Gestión</w:t>
            </w:r>
          </w:p>
          <w:p w:rsidR="005745E0" w:rsidRPr="005745E0" w:rsidRDefault="005745E0" w:rsidP="005745E0">
            <w:pPr>
              <w:pStyle w:val="Encabezado"/>
              <w:numPr>
                <w:ilvl w:val="0"/>
                <w:numId w:val="44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5745E0">
              <w:rPr>
                <w:rFonts w:ascii="Arial" w:hAnsi="Arial" w:cs="Arial"/>
              </w:rPr>
              <w:t xml:space="preserve">Informes </w:t>
            </w:r>
          </w:p>
          <w:p w:rsidR="005745E0" w:rsidRPr="005745E0" w:rsidRDefault="005745E0" w:rsidP="00A13706">
            <w:pPr>
              <w:pStyle w:val="Encabezado"/>
              <w:tabs>
                <w:tab w:val="clear" w:pos="4252"/>
                <w:tab w:val="clear" w:pos="8504"/>
              </w:tabs>
              <w:ind w:left="720"/>
              <w:rPr>
                <w:rFonts w:ascii="Arial" w:hAnsi="Arial" w:cs="Arial"/>
                <w:b/>
              </w:rPr>
            </w:pPr>
          </w:p>
          <w:p w:rsidR="005745E0" w:rsidRDefault="005745E0" w:rsidP="005745E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  <w:p w:rsidR="001C2C47" w:rsidRDefault="001C2C47" w:rsidP="005745E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  <w:p w:rsidR="005745E0" w:rsidRDefault="005745E0" w:rsidP="005745E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  <w:p w:rsidR="005745E0" w:rsidRDefault="005745E0" w:rsidP="005745E0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</w:rPr>
            </w:pPr>
          </w:p>
          <w:p w:rsidR="005745E0" w:rsidRPr="00A13706" w:rsidRDefault="005745E0" w:rsidP="001C2C47">
            <w:pPr>
              <w:pStyle w:val="Encabezado"/>
              <w:tabs>
                <w:tab w:val="clear" w:pos="4252"/>
                <w:tab w:val="clear" w:pos="8504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41217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73E21" w:rsidRDefault="00D73E21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Default="002B49B4" w:rsidP="00B83C6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Pr="00680AB8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41217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73E21" w:rsidRDefault="00D73E21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Default="00142524" w:rsidP="00B83C6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Pr="00680AB8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2B49B4" w:rsidRPr="00680AB8" w:rsidRDefault="002B49B4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41217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73E21" w:rsidRDefault="00D73E21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Default="002B49B4" w:rsidP="00B83C6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Pr="00680AB8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2B49B4" w:rsidRPr="00680AB8" w:rsidRDefault="002B49B4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41217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73E21" w:rsidRDefault="00D73E21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C2C47" w:rsidRDefault="001C2C4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C2C47" w:rsidRDefault="001C2C4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C2C47" w:rsidRDefault="001C2C4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Pr="00680AB8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41217" w:rsidRDefault="00141217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D73E21" w:rsidRDefault="00D73E21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Default="002B49B4" w:rsidP="00B83C67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5745E0" w:rsidRDefault="005745E0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41217" w:rsidRPr="00680AB8" w:rsidRDefault="00141217" w:rsidP="0052505A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2B49B4" w:rsidRPr="00680AB8" w:rsidRDefault="002B49B4" w:rsidP="00B83C6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2B49B4" w:rsidRDefault="002B49B4" w:rsidP="002B49B4">
            <w:pPr>
              <w:rPr>
                <w:rFonts w:ascii="Arial" w:hAnsi="Arial" w:cs="Arial"/>
                <w:lang w:val="es-CO"/>
              </w:rPr>
            </w:pPr>
          </w:p>
          <w:p w:rsidR="00D73E21" w:rsidRDefault="00D73E21" w:rsidP="004959BD">
            <w:pPr>
              <w:jc w:val="both"/>
              <w:rPr>
                <w:rFonts w:ascii="Arial" w:hAnsi="Arial" w:cs="Arial"/>
              </w:rPr>
            </w:pPr>
          </w:p>
          <w:p w:rsidR="004959BD" w:rsidRPr="00977019" w:rsidRDefault="001C2C47" w:rsidP="0097701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</w:t>
            </w:r>
            <w:r>
              <w:rPr>
                <w:rFonts w:ascii="Arial" w:hAnsi="Arial" w:cs="Arial"/>
              </w:rPr>
              <w:lastRenderedPageBreak/>
              <w:t>información es consolidada por la Oficina Asesora de Planeación E Información, serie: Informes, Subserie: Informes de Gestión.</w:t>
            </w:r>
          </w:p>
        </w:tc>
      </w:tr>
      <w:tr w:rsidR="004959BD" w:rsidRPr="00680AB8" w:rsidTr="00B83C67">
        <w:tc>
          <w:tcPr>
            <w:tcW w:w="1101" w:type="dxa"/>
            <w:shd w:val="clear" w:color="auto" w:fill="auto"/>
          </w:tcPr>
          <w:p w:rsidR="004959BD" w:rsidRDefault="004959BD" w:rsidP="00C2629D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  <w:p w:rsidR="004959BD" w:rsidRDefault="004959BD" w:rsidP="0072459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AE4801">
              <w:rPr>
                <w:rFonts w:ascii="Arial" w:hAnsi="Arial" w:cs="Arial"/>
                <w:sz w:val="18"/>
                <w:szCs w:val="18"/>
                <w:lang w:val="es-CO"/>
              </w:rPr>
              <w:t>200.</w:t>
            </w:r>
            <w:r w:rsidR="00B32D59">
              <w:rPr>
                <w:rFonts w:ascii="Arial" w:hAnsi="Arial" w:cs="Arial"/>
                <w:sz w:val="18"/>
                <w:szCs w:val="18"/>
                <w:lang w:val="es-CO"/>
              </w:rPr>
              <w:t>5</w:t>
            </w:r>
          </w:p>
          <w:p w:rsidR="00071AFF" w:rsidRPr="00EF52FE" w:rsidRDefault="00071AFF" w:rsidP="0072459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4959BD" w:rsidRDefault="004959BD" w:rsidP="00C2629D">
            <w:pPr>
              <w:rPr>
                <w:rFonts w:ascii="Arial" w:hAnsi="Arial" w:cs="Arial"/>
                <w:b/>
                <w:lang w:val="es-CO"/>
              </w:rPr>
            </w:pPr>
          </w:p>
          <w:p w:rsidR="00071AFF" w:rsidRDefault="00071AFF" w:rsidP="00C2629D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PROCESOS</w:t>
            </w:r>
            <w:r w:rsidR="0063545F">
              <w:rPr>
                <w:rFonts w:ascii="Arial" w:hAnsi="Arial" w:cs="Arial"/>
                <w:b/>
                <w:lang w:val="es-CO"/>
              </w:rPr>
              <w:t xml:space="preserve"> JUDICIALES</w:t>
            </w:r>
          </w:p>
          <w:p w:rsidR="004959BD" w:rsidRPr="00153546" w:rsidRDefault="004959BD" w:rsidP="00C2629D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53546">
              <w:rPr>
                <w:rFonts w:ascii="Arial" w:hAnsi="Arial" w:cs="Arial"/>
              </w:rPr>
              <w:t>Copia demanda</w:t>
            </w:r>
          </w:p>
          <w:p w:rsidR="004959BD" w:rsidRDefault="004959BD" w:rsidP="00C2629D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53546">
              <w:rPr>
                <w:rFonts w:ascii="Arial" w:hAnsi="Arial" w:cs="Arial"/>
              </w:rPr>
              <w:t>Contestación de la demanda</w:t>
            </w:r>
          </w:p>
          <w:p w:rsidR="006E1A44" w:rsidRPr="00153546" w:rsidRDefault="006E1A44" w:rsidP="00C2629D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Demanda</w:t>
            </w:r>
          </w:p>
          <w:p w:rsidR="004959BD" w:rsidRPr="00153546" w:rsidRDefault="004959BD" w:rsidP="00C2629D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53546">
              <w:rPr>
                <w:rFonts w:ascii="Arial" w:hAnsi="Arial" w:cs="Arial"/>
              </w:rPr>
              <w:t>Pruebas</w:t>
            </w:r>
          </w:p>
          <w:p w:rsidR="004959BD" w:rsidRPr="00153546" w:rsidRDefault="004959BD" w:rsidP="00C2629D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153546">
              <w:rPr>
                <w:rFonts w:ascii="Arial" w:hAnsi="Arial" w:cs="Arial"/>
              </w:rPr>
              <w:t xml:space="preserve">Recursos </w:t>
            </w:r>
          </w:p>
          <w:p w:rsidR="004959BD" w:rsidRPr="00724596" w:rsidRDefault="004959BD" w:rsidP="00C2629D">
            <w:pPr>
              <w:pStyle w:val="Encabezado"/>
              <w:numPr>
                <w:ilvl w:val="0"/>
                <w:numId w:val="31"/>
              </w:numPr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lang w:val="es-CO"/>
              </w:rPr>
            </w:pPr>
            <w:r w:rsidRPr="00724596">
              <w:rPr>
                <w:rFonts w:ascii="Arial" w:hAnsi="Arial" w:cs="Arial"/>
              </w:rPr>
              <w:t>Fallo</w:t>
            </w:r>
          </w:p>
          <w:p w:rsidR="004959BD" w:rsidRDefault="004959BD" w:rsidP="00C2629D">
            <w:pPr>
              <w:rPr>
                <w:rFonts w:ascii="Arial" w:hAnsi="Arial" w:cs="Arial"/>
                <w:b/>
                <w:lang w:val="es-CO"/>
              </w:rPr>
            </w:pPr>
          </w:p>
          <w:p w:rsidR="004959BD" w:rsidRDefault="004959BD" w:rsidP="00C2629D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26FB0" w:rsidRDefault="00E26FB0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72459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26FB0" w:rsidRDefault="00E26FB0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BF0969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4959BD" w:rsidRPr="00680AB8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6" w:type="dxa"/>
            <w:shd w:val="clear" w:color="auto" w:fill="auto"/>
          </w:tcPr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26FB0" w:rsidRDefault="00E26FB0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Pr="00680AB8" w:rsidRDefault="004959BD" w:rsidP="00BF0969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4959BD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26FB0" w:rsidRDefault="00E26FB0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4959BD" w:rsidRDefault="004959BD" w:rsidP="00CC1A9E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4959BD" w:rsidRPr="00680AB8" w:rsidRDefault="004959BD" w:rsidP="00C2629D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4959BD" w:rsidRDefault="004959BD" w:rsidP="00C2629D">
            <w:pPr>
              <w:rPr>
                <w:rFonts w:ascii="Arial" w:hAnsi="Arial" w:cs="Arial"/>
                <w:lang w:val="es-CO"/>
              </w:rPr>
            </w:pPr>
          </w:p>
          <w:p w:rsidR="00E26FB0" w:rsidRDefault="00E26FB0" w:rsidP="00C2629D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4959BD" w:rsidRDefault="004959BD" w:rsidP="00184ECD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 xml:space="preserve">Subserie documental que adquiere valores secundarios donde se refleja los procesos de demandas contractuales y determina el responsable para la indemnización. </w:t>
            </w:r>
            <w:r w:rsidR="000661F2">
              <w:rPr>
                <w:rFonts w:ascii="Arial" w:hAnsi="Arial" w:cs="Arial"/>
                <w:lang w:val="es-CO"/>
              </w:rPr>
              <w:t>Generado el fallo y t</w:t>
            </w:r>
            <w:r>
              <w:rPr>
                <w:rFonts w:ascii="Arial" w:hAnsi="Arial" w:cs="Arial"/>
                <w:lang w:val="es-CO"/>
              </w:rPr>
              <w:t>erminado el tiempo de retención en el archivo central y dado el volumen de producción de la subserie documental, se determina una selección aleatoria con una muestra del 1</w:t>
            </w:r>
            <w:r w:rsidR="00F51DB3">
              <w:rPr>
                <w:rFonts w:ascii="Arial" w:hAnsi="Arial" w:cs="Arial"/>
                <w:lang w:val="es-CO"/>
              </w:rPr>
              <w:t>5</w:t>
            </w:r>
            <w:r>
              <w:rPr>
                <w:rFonts w:ascii="Arial" w:hAnsi="Arial" w:cs="Arial"/>
                <w:lang w:val="es-CO"/>
              </w:rPr>
              <w:t xml:space="preserve">% anual. Se debe garantizar su digitalización para el aseguramiento de la información y posteriores </w:t>
            </w:r>
            <w:r>
              <w:rPr>
                <w:rFonts w:ascii="Arial" w:hAnsi="Arial" w:cs="Arial"/>
                <w:lang w:val="es-CO"/>
              </w:rPr>
              <w:lastRenderedPageBreak/>
              <w:t>consultas.</w:t>
            </w:r>
            <w:r w:rsidR="009A2823">
              <w:rPr>
                <w:rFonts w:ascii="Arial" w:hAnsi="Arial" w:cs="Arial"/>
                <w:lang w:val="es-CO"/>
              </w:rPr>
              <w:t xml:space="preserve"> De acuerdo a las siguientes normas; </w:t>
            </w:r>
            <w:r w:rsidR="009A2823" w:rsidRPr="009A2823">
              <w:rPr>
                <w:rFonts w:ascii="Arial" w:hAnsi="Arial" w:cs="Arial"/>
                <w:lang w:val="es-CO"/>
              </w:rPr>
              <w:t>COLOMBIA. ASAMBLEA NACIONAL CONSTITUYENTE. Constitución Política de Colombia. Bogotá: 1991. Artículo 87.</w:t>
            </w:r>
            <w:r w:rsidR="00C2331F">
              <w:rPr>
                <w:rFonts w:ascii="Arial" w:hAnsi="Arial" w:cs="Arial"/>
                <w:lang w:val="es-CO"/>
              </w:rPr>
              <w:t xml:space="preserve"> </w:t>
            </w:r>
            <w:r w:rsidR="009A2823" w:rsidRPr="009A2823">
              <w:rPr>
                <w:rFonts w:ascii="Arial" w:hAnsi="Arial" w:cs="Arial"/>
                <w:lang w:val="es-CO"/>
              </w:rPr>
              <w:t>COLOMBIA. CONGRESO DE LA REPÚBLICA. Ley 393 (20, julio, 1997). Por la cual se desarrolla el artículo 87 de la Constitución Política. Bogotá: 1997.</w:t>
            </w:r>
            <w:r w:rsidR="009A2823">
              <w:rPr>
                <w:rFonts w:ascii="Arial" w:hAnsi="Arial" w:cs="Arial"/>
                <w:lang w:val="es-CO"/>
              </w:rPr>
              <w:t xml:space="preserve"> </w:t>
            </w:r>
          </w:p>
          <w:p w:rsidR="00977019" w:rsidRDefault="00977019" w:rsidP="00CC1A9E">
            <w:pPr>
              <w:jc w:val="both"/>
              <w:rPr>
                <w:rFonts w:ascii="Arial" w:hAnsi="Arial" w:cs="Arial"/>
                <w:lang w:val="es-CO"/>
              </w:rPr>
            </w:pPr>
          </w:p>
        </w:tc>
      </w:tr>
    </w:tbl>
    <w:p w:rsidR="00C850EA" w:rsidRDefault="00C850EA" w:rsidP="001A5C38">
      <w:pPr>
        <w:ind w:left="708" w:hanging="708"/>
        <w:rPr>
          <w:rFonts w:ascii="Arial" w:hAnsi="Arial" w:cs="Arial"/>
        </w:rPr>
      </w:pPr>
    </w:p>
    <w:p w:rsidR="00977019" w:rsidRPr="005C2DFC" w:rsidRDefault="00977019" w:rsidP="001A5C38">
      <w:pPr>
        <w:ind w:left="708" w:hanging="708"/>
        <w:rPr>
          <w:rFonts w:ascii="Arial" w:hAnsi="Arial" w:cs="Arial"/>
        </w:rPr>
      </w:pPr>
      <w:bookmarkStart w:id="0" w:name="_GoBack"/>
      <w:bookmarkEnd w:id="0"/>
    </w:p>
    <w:sectPr w:rsidR="00977019" w:rsidRPr="005C2DFC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54" w:rsidRDefault="00BA2E54">
      <w:r>
        <w:separator/>
      </w:r>
    </w:p>
  </w:endnote>
  <w:endnote w:type="continuationSeparator" w:id="0">
    <w:p w:rsidR="00BA2E54" w:rsidRDefault="00B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A94B0B" w:rsidRPr="00252D10" w:rsidTr="00512123">
      <w:trPr>
        <w:cantSplit/>
      </w:trPr>
      <w:tc>
        <w:tcPr>
          <w:tcW w:w="1630" w:type="dxa"/>
        </w:tcPr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A94B0B" w:rsidRPr="00252D10" w:rsidRDefault="00A94B0B" w:rsidP="00512123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A94B0B" w:rsidRPr="00252D10" w:rsidRDefault="00A94B0B" w:rsidP="00512123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A94B0B" w:rsidRPr="00252D10" w:rsidRDefault="00A94B0B" w:rsidP="00C9781E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A94B0B" w:rsidRPr="00252D10" w:rsidRDefault="00A94B0B" w:rsidP="0051212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A94B0B" w:rsidRPr="00252D10" w:rsidRDefault="00A94B0B" w:rsidP="00512123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A94B0B" w:rsidRPr="00252D10" w:rsidRDefault="00A94B0B" w:rsidP="00512123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A94B0B" w:rsidRPr="00252D10" w:rsidRDefault="00A94B0B" w:rsidP="0051212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A94B0B" w:rsidRPr="00252D10" w:rsidRDefault="00A94B0B" w:rsidP="0051212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1" w:tooltip="Abre nueva página reseña de ​YALILE KATERINE ASSAF" w:history="1">
            <w:r w:rsidR="00BD5880">
              <w:rPr>
                <w:rFonts w:ascii="Arial" w:hAnsi="Arial" w:cs="Arial"/>
                <w:sz w:val="16"/>
                <w:szCs w:val="16"/>
              </w:rPr>
              <w:t>S</w:t>
            </w:r>
            <w:r w:rsidR="00BD5880" w:rsidRPr="00077F35">
              <w:rPr>
                <w:rFonts w:ascii="Arial" w:hAnsi="Arial" w:cs="Arial"/>
                <w:sz w:val="16"/>
                <w:szCs w:val="16"/>
              </w:rPr>
              <w:t>a</w:t>
            </w:r>
            <w:r w:rsidR="00BD5880">
              <w:rPr>
                <w:rFonts w:ascii="Arial" w:hAnsi="Arial" w:cs="Arial"/>
                <w:sz w:val="16"/>
                <w:szCs w:val="16"/>
              </w:rPr>
              <w:t xml:space="preserve">ndra Patricia </w:t>
            </w:r>
            <w:proofErr w:type="spellStart"/>
            <w:r w:rsidR="00BD5880">
              <w:rPr>
                <w:rFonts w:ascii="Arial" w:hAnsi="Arial" w:cs="Arial"/>
                <w:sz w:val="16"/>
                <w:szCs w:val="16"/>
              </w:rPr>
              <w:t>Borraez</w:t>
            </w:r>
            <w:proofErr w:type="spellEnd"/>
            <w:r w:rsidR="00BD5880">
              <w:rPr>
                <w:rFonts w:ascii="Arial" w:hAnsi="Arial" w:cs="Arial"/>
                <w:sz w:val="16"/>
                <w:szCs w:val="16"/>
              </w:rPr>
              <w:t xml:space="preserve"> de Escobar</w:t>
            </w:r>
            <w:r w:rsidR="00BD5880" w:rsidRPr="00077F35">
              <w:rPr>
                <w:rFonts w:ascii="Arial" w:hAnsi="Arial" w:cs="Arial"/>
                <w:sz w:val="16"/>
                <w:szCs w:val="16"/>
              </w:rPr>
              <w:t xml:space="preserve"> </w:t>
            </w:r>
          </w:hyperlink>
        </w:p>
        <w:p w:rsidR="00A94B0B" w:rsidRPr="00252D10" w:rsidRDefault="00A94B0B" w:rsidP="0051212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</w:t>
          </w:r>
          <w:r w:rsidR="00C9781E">
            <w:rPr>
              <w:rFonts w:ascii="Arial" w:hAnsi="Arial" w:cs="Arial"/>
              <w:sz w:val="16"/>
              <w:szCs w:val="16"/>
            </w:rPr>
            <w:t>a</w:t>
          </w:r>
          <w:r>
            <w:rPr>
              <w:rFonts w:ascii="Arial" w:hAnsi="Arial" w:cs="Arial"/>
              <w:sz w:val="16"/>
              <w:szCs w:val="16"/>
            </w:rPr>
            <w:t xml:space="preserve"> General</w:t>
          </w:r>
        </w:p>
        <w:p w:rsidR="00A94B0B" w:rsidRPr="00252D10" w:rsidRDefault="00A94B0B" w:rsidP="00C9781E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BD5880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BD5880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A94B0B" w:rsidRPr="00252D10" w:rsidRDefault="00A94B0B" w:rsidP="00512123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A94B0B" w:rsidRPr="00252D10" w:rsidRDefault="00A94B0B" w:rsidP="0051212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C9781E">
            <w:rPr>
              <w:rFonts w:ascii="Arial" w:hAnsi="Arial" w:cs="Arial"/>
              <w:sz w:val="16"/>
              <w:szCs w:val="16"/>
            </w:rPr>
            <w:t>Freddy Mauricio Grisales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A94B0B" w:rsidRPr="00252D10" w:rsidRDefault="00A94B0B" w:rsidP="00512123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BD5880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A94B0B" w:rsidRPr="00252D10" w:rsidRDefault="00A94B0B" w:rsidP="00C9781E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BD5880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BD5880">
            <w:rPr>
              <w:rFonts w:cs="Arial"/>
              <w:b w:val="0"/>
              <w:sz w:val="16"/>
              <w:szCs w:val="16"/>
            </w:rPr>
            <w:t xml:space="preserve"> 14 </w:t>
          </w:r>
          <w:r>
            <w:rPr>
              <w:rFonts w:cs="Arial"/>
              <w:b w:val="0"/>
              <w:sz w:val="16"/>
              <w:szCs w:val="16"/>
            </w:rPr>
            <w:t>de 20</w:t>
          </w:r>
          <w:r w:rsidR="00BD5880">
            <w:rPr>
              <w:rFonts w:cs="Arial"/>
              <w:b w:val="0"/>
              <w:sz w:val="16"/>
              <w:szCs w:val="16"/>
            </w:rPr>
            <w:t>20</w:t>
          </w:r>
        </w:p>
      </w:tc>
    </w:tr>
  </w:tbl>
  <w:p w:rsidR="00172F24" w:rsidRDefault="00172F24">
    <w:pPr>
      <w:pStyle w:val="Piedepgina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54" w:rsidRDefault="00BA2E54">
      <w:r>
        <w:separator/>
      </w:r>
    </w:p>
  </w:footnote>
  <w:footnote w:type="continuationSeparator" w:id="0">
    <w:p w:rsidR="00BA2E54" w:rsidRDefault="00BA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AA044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0126D9">
      <w:rPr>
        <w:rFonts w:ascii="Arial" w:hAnsi="Arial"/>
      </w:rPr>
      <w:t>: DIRECCION</w:t>
    </w:r>
    <w:r w:rsidR="00794FF7">
      <w:rPr>
        <w:rFonts w:ascii="Arial" w:hAnsi="Arial"/>
      </w:rPr>
      <w:t xml:space="preserve"> GENERAL</w:t>
    </w:r>
    <w:r w:rsidR="00736F39">
      <w:rPr>
        <w:rFonts w:ascii="Arial" w:hAnsi="Arial"/>
      </w:rPr>
      <w:t xml:space="preserve"> 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0126D9">
      <w:rPr>
        <w:rFonts w:ascii="Arial" w:hAnsi="Arial"/>
      </w:rPr>
      <w:t>PRODUCTORA: OFICINA</w:t>
    </w:r>
    <w:r w:rsidR="00794FF7">
      <w:rPr>
        <w:rFonts w:ascii="Arial" w:hAnsi="Arial"/>
      </w:rPr>
      <w:t xml:space="preserve"> </w:t>
    </w:r>
    <w:r w:rsidR="00564BA1">
      <w:rPr>
        <w:rFonts w:ascii="Arial" w:hAnsi="Arial"/>
      </w:rPr>
      <w:t>ASESORA JURIDICA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E579C3">
      <w:rPr>
        <w:rFonts w:ascii="Arial" w:hAnsi="Arial"/>
        <w:noProof/>
        <w:snapToGrid w:val="0"/>
      </w:rPr>
      <w:t>3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673F">
      <w:rPr>
        <w:rFonts w:ascii="Arial" w:hAnsi="Arial"/>
        <w:snapToGrid w:val="0"/>
      </w:rPr>
      <w:t>6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0126D9" w:rsidRDefault="000126D9">
          <w:pPr>
            <w:pStyle w:val="Ttulo4"/>
            <w:jc w:val="center"/>
            <w:rPr>
              <w:sz w:val="18"/>
              <w:szCs w:val="18"/>
            </w:rPr>
          </w:pPr>
        </w:p>
        <w:p w:rsidR="000126D9" w:rsidRDefault="000126D9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0126D9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0126D9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0126D9" w:rsidRPr="000126D9" w:rsidRDefault="000126D9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0126D9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0126D9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Tipo d</w:t>
          </w:r>
          <w:r w:rsidR="00CD415F" w:rsidRPr="00CD415F">
            <w:rPr>
              <w:rFonts w:ascii="Arial" w:hAnsi="Arial"/>
              <w:sz w:val="18"/>
              <w:szCs w:val="18"/>
            </w:rPr>
            <w:t>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0126D9" w:rsidRDefault="000126D9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0126D9" w:rsidRDefault="000126D9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33C6A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B24"/>
    <w:multiLevelType w:val="hybridMultilevel"/>
    <w:tmpl w:val="2FCA9D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ED23CE"/>
    <w:multiLevelType w:val="hybridMultilevel"/>
    <w:tmpl w:val="A276F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A72FB"/>
    <w:multiLevelType w:val="hybridMultilevel"/>
    <w:tmpl w:val="3500C2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87EC0"/>
    <w:multiLevelType w:val="hybridMultilevel"/>
    <w:tmpl w:val="27961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6305"/>
    <w:multiLevelType w:val="hybridMultilevel"/>
    <w:tmpl w:val="17848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507D5"/>
    <w:multiLevelType w:val="hybridMultilevel"/>
    <w:tmpl w:val="6A8C0F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6F60"/>
    <w:multiLevelType w:val="hybridMultilevel"/>
    <w:tmpl w:val="2766C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31F60"/>
    <w:multiLevelType w:val="hybridMultilevel"/>
    <w:tmpl w:val="D772C6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73FD0"/>
    <w:multiLevelType w:val="hybridMultilevel"/>
    <w:tmpl w:val="D2E2E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14DE3"/>
    <w:multiLevelType w:val="hybridMultilevel"/>
    <w:tmpl w:val="D7A0A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103E0"/>
    <w:multiLevelType w:val="hybridMultilevel"/>
    <w:tmpl w:val="B56C78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163D8E"/>
    <w:multiLevelType w:val="hybridMultilevel"/>
    <w:tmpl w:val="4D980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E4673"/>
    <w:multiLevelType w:val="hybridMultilevel"/>
    <w:tmpl w:val="B76AE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50B39"/>
    <w:multiLevelType w:val="hybridMultilevel"/>
    <w:tmpl w:val="5BFAE4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14E10"/>
    <w:multiLevelType w:val="hybridMultilevel"/>
    <w:tmpl w:val="E9D2A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4" w15:restartNumberingAfterBreak="0">
    <w:nsid w:val="3FFB513D"/>
    <w:multiLevelType w:val="hybridMultilevel"/>
    <w:tmpl w:val="CDDC03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3084E"/>
    <w:multiLevelType w:val="hybridMultilevel"/>
    <w:tmpl w:val="852209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66233"/>
    <w:multiLevelType w:val="hybridMultilevel"/>
    <w:tmpl w:val="F0C8B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25EEA"/>
    <w:multiLevelType w:val="hybridMultilevel"/>
    <w:tmpl w:val="FADA2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43DA0"/>
    <w:multiLevelType w:val="hybridMultilevel"/>
    <w:tmpl w:val="7B3410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61A23"/>
    <w:multiLevelType w:val="hybridMultilevel"/>
    <w:tmpl w:val="C41E30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60825"/>
    <w:multiLevelType w:val="hybridMultilevel"/>
    <w:tmpl w:val="4FFE4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E9555B"/>
    <w:multiLevelType w:val="hybridMultilevel"/>
    <w:tmpl w:val="F48C4A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A1AE2"/>
    <w:multiLevelType w:val="hybridMultilevel"/>
    <w:tmpl w:val="1908B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23A38"/>
    <w:multiLevelType w:val="hybridMultilevel"/>
    <w:tmpl w:val="8D86B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A2FCD"/>
    <w:multiLevelType w:val="hybridMultilevel"/>
    <w:tmpl w:val="FF945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56620"/>
    <w:multiLevelType w:val="hybridMultilevel"/>
    <w:tmpl w:val="35A8D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1149C"/>
    <w:multiLevelType w:val="hybridMultilevel"/>
    <w:tmpl w:val="D3A4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94F8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3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57F99"/>
    <w:multiLevelType w:val="hybridMultilevel"/>
    <w:tmpl w:val="C2E42B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17"/>
  </w:num>
  <w:num w:numId="4">
    <w:abstractNumId w:val="2"/>
  </w:num>
  <w:num w:numId="5">
    <w:abstractNumId w:val="42"/>
  </w:num>
  <w:num w:numId="6">
    <w:abstractNumId w:val="32"/>
  </w:num>
  <w:num w:numId="7">
    <w:abstractNumId w:val="4"/>
  </w:num>
  <w:num w:numId="8">
    <w:abstractNumId w:val="43"/>
  </w:num>
  <w:num w:numId="9">
    <w:abstractNumId w:val="20"/>
  </w:num>
  <w:num w:numId="10">
    <w:abstractNumId w:val="8"/>
  </w:num>
  <w:num w:numId="11">
    <w:abstractNumId w:val="30"/>
  </w:num>
  <w:num w:numId="12">
    <w:abstractNumId w:val="0"/>
  </w:num>
  <w:num w:numId="13">
    <w:abstractNumId w:val="36"/>
  </w:num>
  <w:num w:numId="14">
    <w:abstractNumId w:val="14"/>
  </w:num>
  <w:num w:numId="15">
    <w:abstractNumId w:val="13"/>
  </w:num>
  <w:num w:numId="16">
    <w:abstractNumId w:val="31"/>
  </w:num>
  <w:num w:numId="17">
    <w:abstractNumId w:val="19"/>
  </w:num>
  <w:num w:numId="18">
    <w:abstractNumId w:val="26"/>
  </w:num>
  <w:num w:numId="19">
    <w:abstractNumId w:val="39"/>
  </w:num>
  <w:num w:numId="20">
    <w:abstractNumId w:val="22"/>
  </w:num>
  <w:num w:numId="21">
    <w:abstractNumId w:val="34"/>
  </w:num>
  <w:num w:numId="22">
    <w:abstractNumId w:val="3"/>
  </w:num>
  <w:num w:numId="23">
    <w:abstractNumId w:val="10"/>
  </w:num>
  <w:num w:numId="24">
    <w:abstractNumId w:val="28"/>
  </w:num>
  <w:num w:numId="25">
    <w:abstractNumId w:val="40"/>
  </w:num>
  <w:num w:numId="26">
    <w:abstractNumId w:val="25"/>
  </w:num>
  <w:num w:numId="27">
    <w:abstractNumId w:val="6"/>
  </w:num>
  <w:num w:numId="28">
    <w:abstractNumId w:val="24"/>
  </w:num>
  <w:num w:numId="29">
    <w:abstractNumId w:val="7"/>
  </w:num>
  <w:num w:numId="30">
    <w:abstractNumId w:val="12"/>
  </w:num>
  <w:num w:numId="31">
    <w:abstractNumId w:val="33"/>
  </w:num>
  <w:num w:numId="32">
    <w:abstractNumId w:val="35"/>
  </w:num>
  <w:num w:numId="33">
    <w:abstractNumId w:val="15"/>
  </w:num>
  <w:num w:numId="34">
    <w:abstractNumId w:val="5"/>
  </w:num>
  <w:num w:numId="35">
    <w:abstractNumId w:val="21"/>
  </w:num>
  <w:num w:numId="36">
    <w:abstractNumId w:val="16"/>
  </w:num>
  <w:num w:numId="37">
    <w:abstractNumId w:val="18"/>
  </w:num>
  <w:num w:numId="38">
    <w:abstractNumId w:val="29"/>
  </w:num>
  <w:num w:numId="39">
    <w:abstractNumId w:val="38"/>
  </w:num>
  <w:num w:numId="40">
    <w:abstractNumId w:val="27"/>
  </w:num>
  <w:num w:numId="41">
    <w:abstractNumId w:val="37"/>
  </w:num>
  <w:num w:numId="42">
    <w:abstractNumId w:val="11"/>
  </w:num>
  <w:num w:numId="43">
    <w:abstractNumId w:val="9"/>
  </w:num>
  <w:num w:numId="44">
    <w:abstractNumId w:val="4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2E"/>
    <w:rsid w:val="00001022"/>
    <w:rsid w:val="000126D9"/>
    <w:rsid w:val="00026A67"/>
    <w:rsid w:val="00046CF9"/>
    <w:rsid w:val="00054427"/>
    <w:rsid w:val="00064E02"/>
    <w:rsid w:val="000661F2"/>
    <w:rsid w:val="00071AFF"/>
    <w:rsid w:val="000903BD"/>
    <w:rsid w:val="000912DA"/>
    <w:rsid w:val="000A066D"/>
    <w:rsid w:val="000B0AD5"/>
    <w:rsid w:val="000B2CF6"/>
    <w:rsid w:val="000B6DF2"/>
    <w:rsid w:val="000C625C"/>
    <w:rsid w:val="000D2923"/>
    <w:rsid w:val="000F6230"/>
    <w:rsid w:val="00101FD8"/>
    <w:rsid w:val="0010450A"/>
    <w:rsid w:val="00114B47"/>
    <w:rsid w:val="0012055A"/>
    <w:rsid w:val="00121210"/>
    <w:rsid w:val="00122900"/>
    <w:rsid w:val="001301C3"/>
    <w:rsid w:val="00132A9C"/>
    <w:rsid w:val="00141217"/>
    <w:rsid w:val="00142524"/>
    <w:rsid w:val="00172F24"/>
    <w:rsid w:val="00184ECD"/>
    <w:rsid w:val="001920EF"/>
    <w:rsid w:val="001A5C38"/>
    <w:rsid w:val="001C2C47"/>
    <w:rsid w:val="001C302E"/>
    <w:rsid w:val="001D0313"/>
    <w:rsid w:val="001D3669"/>
    <w:rsid w:val="001F7730"/>
    <w:rsid w:val="00221BDC"/>
    <w:rsid w:val="00225E18"/>
    <w:rsid w:val="0023693E"/>
    <w:rsid w:val="00246B68"/>
    <w:rsid w:val="00252D10"/>
    <w:rsid w:val="00271AC7"/>
    <w:rsid w:val="002727D8"/>
    <w:rsid w:val="002A168D"/>
    <w:rsid w:val="002B49B4"/>
    <w:rsid w:val="002D4DEA"/>
    <w:rsid w:val="002D4E96"/>
    <w:rsid w:val="002E3F7F"/>
    <w:rsid w:val="00305459"/>
    <w:rsid w:val="003205E4"/>
    <w:rsid w:val="00323826"/>
    <w:rsid w:val="0034776C"/>
    <w:rsid w:val="003529F9"/>
    <w:rsid w:val="0035625D"/>
    <w:rsid w:val="0037633D"/>
    <w:rsid w:val="00381046"/>
    <w:rsid w:val="00382E4B"/>
    <w:rsid w:val="003C7AE8"/>
    <w:rsid w:val="003D09D1"/>
    <w:rsid w:val="003E5C98"/>
    <w:rsid w:val="00410440"/>
    <w:rsid w:val="0041262E"/>
    <w:rsid w:val="004255AC"/>
    <w:rsid w:val="00436092"/>
    <w:rsid w:val="004540AB"/>
    <w:rsid w:val="00463EC8"/>
    <w:rsid w:val="004959BD"/>
    <w:rsid w:val="004A090D"/>
    <w:rsid w:val="004B4924"/>
    <w:rsid w:val="004C02C1"/>
    <w:rsid w:val="004D162E"/>
    <w:rsid w:val="004D3C17"/>
    <w:rsid w:val="004D7E55"/>
    <w:rsid w:val="004E0579"/>
    <w:rsid w:val="005117FD"/>
    <w:rsid w:val="00512123"/>
    <w:rsid w:val="005129C9"/>
    <w:rsid w:val="005237B6"/>
    <w:rsid w:val="0052505A"/>
    <w:rsid w:val="00533AD8"/>
    <w:rsid w:val="005379DF"/>
    <w:rsid w:val="00564BA1"/>
    <w:rsid w:val="005745E0"/>
    <w:rsid w:val="00587FFA"/>
    <w:rsid w:val="005A7832"/>
    <w:rsid w:val="005C1C69"/>
    <w:rsid w:val="005C2DFC"/>
    <w:rsid w:val="005C7FFD"/>
    <w:rsid w:val="005D5F3E"/>
    <w:rsid w:val="005E3F97"/>
    <w:rsid w:val="0060124B"/>
    <w:rsid w:val="006152C9"/>
    <w:rsid w:val="00617DEE"/>
    <w:rsid w:val="00623837"/>
    <w:rsid w:val="0063545F"/>
    <w:rsid w:val="00637075"/>
    <w:rsid w:val="00664DAB"/>
    <w:rsid w:val="00665615"/>
    <w:rsid w:val="00680AB8"/>
    <w:rsid w:val="006B00AE"/>
    <w:rsid w:val="006B7EE2"/>
    <w:rsid w:val="006C4474"/>
    <w:rsid w:val="006C7522"/>
    <w:rsid w:val="006D0F53"/>
    <w:rsid w:val="006E1A44"/>
    <w:rsid w:val="007064CE"/>
    <w:rsid w:val="00711B77"/>
    <w:rsid w:val="00724596"/>
    <w:rsid w:val="00724D12"/>
    <w:rsid w:val="00736F39"/>
    <w:rsid w:val="00794FF7"/>
    <w:rsid w:val="00807F1A"/>
    <w:rsid w:val="0082091F"/>
    <w:rsid w:val="00825A5F"/>
    <w:rsid w:val="00857B8B"/>
    <w:rsid w:val="00880913"/>
    <w:rsid w:val="00882612"/>
    <w:rsid w:val="008872F0"/>
    <w:rsid w:val="008A5BAF"/>
    <w:rsid w:val="008B4F62"/>
    <w:rsid w:val="008C3873"/>
    <w:rsid w:val="008D3A03"/>
    <w:rsid w:val="008F4752"/>
    <w:rsid w:val="009075FF"/>
    <w:rsid w:val="0092317B"/>
    <w:rsid w:val="009360E4"/>
    <w:rsid w:val="00952A3D"/>
    <w:rsid w:val="0095673F"/>
    <w:rsid w:val="00965470"/>
    <w:rsid w:val="00977019"/>
    <w:rsid w:val="009A2823"/>
    <w:rsid w:val="009A33F4"/>
    <w:rsid w:val="009C7D5A"/>
    <w:rsid w:val="009E2192"/>
    <w:rsid w:val="009E5C88"/>
    <w:rsid w:val="00A13706"/>
    <w:rsid w:val="00A400CF"/>
    <w:rsid w:val="00A43745"/>
    <w:rsid w:val="00A50573"/>
    <w:rsid w:val="00A62513"/>
    <w:rsid w:val="00A75FEB"/>
    <w:rsid w:val="00A94B0B"/>
    <w:rsid w:val="00AA044C"/>
    <w:rsid w:val="00AB5E00"/>
    <w:rsid w:val="00AE4801"/>
    <w:rsid w:val="00B01438"/>
    <w:rsid w:val="00B166C9"/>
    <w:rsid w:val="00B32D59"/>
    <w:rsid w:val="00B475E8"/>
    <w:rsid w:val="00B50FBA"/>
    <w:rsid w:val="00B83C67"/>
    <w:rsid w:val="00B841D4"/>
    <w:rsid w:val="00B86378"/>
    <w:rsid w:val="00B92189"/>
    <w:rsid w:val="00B92471"/>
    <w:rsid w:val="00B9339F"/>
    <w:rsid w:val="00BA2E54"/>
    <w:rsid w:val="00BA452D"/>
    <w:rsid w:val="00BD5880"/>
    <w:rsid w:val="00BE3C98"/>
    <w:rsid w:val="00BE5082"/>
    <w:rsid w:val="00BF0969"/>
    <w:rsid w:val="00C00107"/>
    <w:rsid w:val="00C01437"/>
    <w:rsid w:val="00C03840"/>
    <w:rsid w:val="00C166FD"/>
    <w:rsid w:val="00C204AA"/>
    <w:rsid w:val="00C2331F"/>
    <w:rsid w:val="00C44AB5"/>
    <w:rsid w:val="00C46F91"/>
    <w:rsid w:val="00C534C4"/>
    <w:rsid w:val="00C55166"/>
    <w:rsid w:val="00C600CC"/>
    <w:rsid w:val="00C65378"/>
    <w:rsid w:val="00C66786"/>
    <w:rsid w:val="00C74CEA"/>
    <w:rsid w:val="00C850EA"/>
    <w:rsid w:val="00C9781E"/>
    <w:rsid w:val="00CA1D50"/>
    <w:rsid w:val="00CB5BE7"/>
    <w:rsid w:val="00CC1A9E"/>
    <w:rsid w:val="00CD415F"/>
    <w:rsid w:val="00CD4871"/>
    <w:rsid w:val="00CE43CE"/>
    <w:rsid w:val="00CF3A40"/>
    <w:rsid w:val="00CF3E7A"/>
    <w:rsid w:val="00D211BC"/>
    <w:rsid w:val="00D3467E"/>
    <w:rsid w:val="00D34F76"/>
    <w:rsid w:val="00D53011"/>
    <w:rsid w:val="00D53F7B"/>
    <w:rsid w:val="00D70D68"/>
    <w:rsid w:val="00D73E21"/>
    <w:rsid w:val="00D75BFE"/>
    <w:rsid w:val="00D87661"/>
    <w:rsid w:val="00D94572"/>
    <w:rsid w:val="00DD16ED"/>
    <w:rsid w:val="00DD2C45"/>
    <w:rsid w:val="00DF5EFA"/>
    <w:rsid w:val="00E242AB"/>
    <w:rsid w:val="00E26FB0"/>
    <w:rsid w:val="00E31B6E"/>
    <w:rsid w:val="00E36FBA"/>
    <w:rsid w:val="00E45D01"/>
    <w:rsid w:val="00E579C3"/>
    <w:rsid w:val="00E7024A"/>
    <w:rsid w:val="00E913F6"/>
    <w:rsid w:val="00EA6515"/>
    <w:rsid w:val="00EC66D2"/>
    <w:rsid w:val="00ED0923"/>
    <w:rsid w:val="00ED4699"/>
    <w:rsid w:val="00ED577D"/>
    <w:rsid w:val="00EF52FE"/>
    <w:rsid w:val="00F145E9"/>
    <w:rsid w:val="00F17D93"/>
    <w:rsid w:val="00F22868"/>
    <w:rsid w:val="00F23D60"/>
    <w:rsid w:val="00F3625B"/>
    <w:rsid w:val="00F4452E"/>
    <w:rsid w:val="00F47F21"/>
    <w:rsid w:val="00F51DB3"/>
    <w:rsid w:val="00F556BB"/>
    <w:rsid w:val="00F657D8"/>
    <w:rsid w:val="00F74788"/>
    <w:rsid w:val="00F76561"/>
    <w:rsid w:val="00F81C19"/>
    <w:rsid w:val="00F93B21"/>
    <w:rsid w:val="00FD0075"/>
    <w:rsid w:val="00FD4CDD"/>
    <w:rsid w:val="00FE4EDC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DA7DFF0"/>
  <w15:docId w15:val="{1A77065D-5074-466F-9820-61F85750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D3669"/>
    <w:rPr>
      <w:rFonts w:ascii="Arial" w:hAnsi="Arial"/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E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E2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p.gov.co/yalile-katerine-assaf-abueit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4001</CharactersWithSpaces>
  <SharedDoc>false</SharedDoc>
  <HLinks>
    <vt:vector size="6" baseType="variant"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3</cp:revision>
  <cp:lastPrinted>2020-05-18T16:16:00Z</cp:lastPrinted>
  <dcterms:created xsi:type="dcterms:W3CDTF">2020-05-18T16:01:00Z</dcterms:created>
  <dcterms:modified xsi:type="dcterms:W3CDTF">2020-05-18T16:17:00Z</dcterms:modified>
</cp:coreProperties>
</file>