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E31578" w:rsidRPr="00680AB8" w:rsidTr="00835AC0">
        <w:tc>
          <w:tcPr>
            <w:tcW w:w="1101" w:type="dxa"/>
            <w:shd w:val="clear" w:color="auto" w:fill="auto"/>
          </w:tcPr>
          <w:p w:rsidR="00E31578" w:rsidRDefault="00E31578" w:rsidP="00E3157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B2F69" w:rsidRPr="00E31578" w:rsidRDefault="00DB2F69" w:rsidP="00E3157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600.1</w:t>
            </w:r>
          </w:p>
        </w:tc>
        <w:tc>
          <w:tcPr>
            <w:tcW w:w="4252" w:type="dxa"/>
            <w:shd w:val="clear" w:color="auto" w:fill="auto"/>
          </w:tcPr>
          <w:p w:rsidR="00C73DB4" w:rsidRDefault="00C73DB4" w:rsidP="00E31578">
            <w:pPr>
              <w:rPr>
                <w:rFonts w:ascii="Arial" w:hAnsi="Arial" w:cs="Arial"/>
                <w:b/>
                <w:lang w:val="es-CO"/>
              </w:rPr>
            </w:pPr>
          </w:p>
          <w:p w:rsidR="00E31578" w:rsidRDefault="00070088" w:rsidP="00E31578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HISTORIA</w:t>
            </w:r>
            <w:r w:rsidR="003F7F26">
              <w:rPr>
                <w:rFonts w:ascii="Arial" w:hAnsi="Arial" w:cs="Arial"/>
                <w:b/>
                <w:lang w:val="es-CO"/>
              </w:rPr>
              <w:t>S</w:t>
            </w:r>
            <w:r>
              <w:rPr>
                <w:rFonts w:ascii="Arial" w:hAnsi="Arial" w:cs="Arial"/>
                <w:b/>
                <w:lang w:val="es-CO"/>
              </w:rPr>
              <w:t xml:space="preserve"> DE </w:t>
            </w:r>
            <w:r w:rsidR="00E31578">
              <w:rPr>
                <w:rFonts w:ascii="Arial" w:hAnsi="Arial" w:cs="Arial"/>
                <w:b/>
                <w:lang w:val="es-CO"/>
              </w:rPr>
              <w:t>BENEFICIARIOS</w:t>
            </w:r>
            <w:r w:rsidR="00A87458">
              <w:rPr>
                <w:rFonts w:ascii="Arial" w:hAnsi="Arial" w:cs="Arial"/>
                <w:b/>
                <w:lang w:val="es-CO"/>
              </w:rPr>
              <w:t xml:space="preserve"> Y/O COLECTIVOS</w:t>
            </w:r>
            <w:r w:rsidR="00DE55C8">
              <w:rPr>
                <w:rFonts w:ascii="Arial" w:hAnsi="Arial" w:cs="Arial"/>
                <w:b/>
                <w:lang w:val="es-CO"/>
              </w:rPr>
              <w:t xml:space="preserve"> DE</w:t>
            </w:r>
            <w:r w:rsidR="00E31578">
              <w:rPr>
                <w:rFonts w:ascii="Arial" w:hAnsi="Arial" w:cs="Arial"/>
                <w:b/>
                <w:lang w:val="es-CO"/>
              </w:rPr>
              <w:t xml:space="preserve"> MEDIDAS DE PROTECCION</w:t>
            </w:r>
          </w:p>
          <w:p w:rsidR="00F03BC9" w:rsidRDefault="00F03BC9" w:rsidP="00DB655A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Abstrac acta de comité de evaluación de riesgo y recomendación de medidas colectivo</w:t>
            </w:r>
          </w:p>
          <w:p w:rsidR="00F03BC9" w:rsidRDefault="00F03BC9" w:rsidP="00C13B56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 de comité de evaluación de riesgo y recomendación de medidas CERREM colectivo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Acta de entrega de implementación de medidas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 de entrega recomendaciones autoprotección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Acto administrativo de adopción de medidas de prevención y protección</w:t>
            </w:r>
          </w:p>
          <w:p w:rsidR="00F03BC9" w:rsidRDefault="00F03BC9" w:rsidP="00C13B56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Acuerdos para el taller de la ruta de protección colectiva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Agenda para la aprobación de la realización de las actividades de campo para la evaluación de riesgo colectivo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Análisis de entornos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Comunicación a protegido de comunicación adoptada</w:t>
            </w:r>
          </w:p>
          <w:p w:rsidR="00380970" w:rsidRDefault="00380970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Comunicación de solicitud de protección</w:t>
            </w:r>
          </w:p>
          <w:p w:rsidR="00380970" w:rsidRDefault="00380970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Comunicación de respuesta a solicitud de protección</w:t>
            </w:r>
          </w:p>
          <w:p w:rsidR="009E230A" w:rsidRPr="00E20155" w:rsidRDefault="009E230A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Conceptos técnicos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Consentimiento de atención psicológica primaria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Consentimiento</w:t>
            </w:r>
            <w:r>
              <w:rPr>
                <w:rFonts w:ascii="Arial" w:hAnsi="Arial" w:cs="Arial"/>
                <w:lang w:val="es-CO"/>
              </w:rPr>
              <w:t xml:space="preserve"> de evaluación de riesgo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Consentimiento desistimiento para la evaluación del riesgo colectivo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Contactos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Cuerpo de estudio de valoración del riesgo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Entrevista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Entrevista a terceros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Entrevista jefe de esquema de protección para la evaluación del riesgo colectivo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Entrevista para partes interesadas para la evaluación del riesgo colectivo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Estudio de seguridad a instalaciones</w:t>
            </w:r>
          </w:p>
          <w:p w:rsidR="00F03BC9" w:rsidRPr="00AC7579" w:rsidRDefault="00C825FF" w:rsidP="00DB655A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</w:t>
            </w:r>
            <w:r w:rsidR="00F03BC9" w:rsidRPr="00AC7579">
              <w:rPr>
                <w:rFonts w:ascii="Arial" w:hAnsi="Arial" w:cs="Arial"/>
                <w:lang w:val="es-CO"/>
              </w:rPr>
              <w:t xml:space="preserve"> activación medidas de emergencia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 de ruta</w:t>
            </w:r>
          </w:p>
          <w:p w:rsidR="00F03BC9" w:rsidRPr="000D29CF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0D29CF">
              <w:rPr>
                <w:rFonts w:ascii="Arial" w:hAnsi="Arial" w:cs="Arial"/>
                <w:lang w:val="es-CO"/>
              </w:rPr>
              <w:t>Informe de evaluación</w:t>
            </w:r>
            <w:r w:rsidR="00B31D77">
              <w:rPr>
                <w:rFonts w:ascii="Arial" w:hAnsi="Arial" w:cs="Arial"/>
                <w:lang w:val="es-CO"/>
              </w:rPr>
              <w:t xml:space="preserve"> y valoración</w:t>
            </w:r>
            <w:r w:rsidRPr="000D29CF">
              <w:rPr>
                <w:rFonts w:ascii="Arial" w:hAnsi="Arial" w:cs="Arial"/>
                <w:lang w:val="es-CO"/>
              </w:rPr>
              <w:t xml:space="preserve"> de riesgo colectivo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Inspección y análisis de la zona para la evaluación de riesgo colectivo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Instrumento de asistencia psicológica</w:t>
            </w:r>
          </w:p>
          <w:p w:rsidR="00F03BC9" w:rsidRDefault="00F03BC9" w:rsidP="000D29CF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 xml:space="preserve">Instrumento </w:t>
            </w:r>
            <w:r>
              <w:rPr>
                <w:rFonts w:ascii="Arial" w:hAnsi="Arial" w:cs="Arial"/>
                <w:lang w:val="es-CO"/>
              </w:rPr>
              <w:t>estándar de valoración colectivo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 xml:space="preserve">Instrumento </w:t>
            </w:r>
            <w:r>
              <w:rPr>
                <w:rFonts w:ascii="Arial" w:hAnsi="Arial" w:cs="Arial"/>
                <w:lang w:val="es-CO"/>
              </w:rPr>
              <w:t>estándar de valoración individual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Levantamiento medidas de protección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Listado de asistencia taller de evaluación de riesgo colectivo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Medidas de prevención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Notificación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Orden de trabajo</w:t>
            </w:r>
          </w:p>
          <w:p w:rsidR="00380970" w:rsidRDefault="00380970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Planes de mejoramiento en la calidad de las evaluaciones de riesgo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casos de no inminencia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casos de viabilidad ACR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consentimiento manifestación y cierre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adicción medidas de emergencia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aprobación medida de emergencias.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</w:t>
            </w:r>
            <w:r w:rsidRPr="00E20155">
              <w:rPr>
                <w:rFonts w:ascii="Arial" w:hAnsi="Arial" w:cs="Arial"/>
                <w:lang w:val="es-CO"/>
              </w:rPr>
              <w:t xml:space="preserve"> de desplazamiento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evaluación psicológica ruta de protección colectiva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implementación medidas de emergencias</w:t>
            </w:r>
          </w:p>
          <w:p w:rsidR="00E40003" w:rsidRPr="003347E0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recomendaciones psicológicas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Registros de solicitud análisis de caso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taller de acompañamiento psicológico ruta de protección colectiva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desistimiento estudio de seguridad e instalaciones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documental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entrega de personas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</w:t>
            </w:r>
            <w:r w:rsidRPr="00E20155">
              <w:rPr>
                <w:rFonts w:ascii="Arial" w:hAnsi="Arial" w:cs="Arial"/>
                <w:lang w:val="es-CO"/>
              </w:rPr>
              <w:t xml:space="preserve"> entrevista esquema de seguridad</w:t>
            </w:r>
          </w:p>
          <w:p w:rsidR="00E40003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informe psicológica primaria</w:t>
            </w:r>
          </w:p>
          <w:p w:rsidR="00E40003" w:rsidRPr="00E20155" w:rsidRDefault="00E40003" w:rsidP="00E8021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valoración arquitectónica</w:t>
            </w:r>
          </w:p>
          <w:p w:rsidR="00E40003" w:rsidRPr="00424BE6" w:rsidRDefault="00E40003" w:rsidP="00424BE6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inscripción al programa de protección y anexos</w:t>
            </w:r>
          </w:p>
          <w:p w:rsidR="00F03BC9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Registro de llamada contacto</w:t>
            </w:r>
          </w:p>
          <w:p w:rsidR="00F03BC9" w:rsidRPr="00E20155" w:rsidRDefault="00F03BC9" w:rsidP="00E20155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20155">
              <w:rPr>
                <w:rFonts w:ascii="Arial" w:hAnsi="Arial" w:cs="Arial"/>
                <w:lang w:val="es-CO"/>
              </w:rPr>
              <w:t>Resumen de la sesión</w:t>
            </w:r>
            <w:r>
              <w:rPr>
                <w:rFonts w:ascii="Arial" w:hAnsi="Arial" w:cs="Arial"/>
                <w:lang w:val="es-CO"/>
              </w:rPr>
              <w:t xml:space="preserve"> del GVP</w:t>
            </w:r>
            <w:r w:rsidRPr="00E20155">
              <w:rPr>
                <w:rFonts w:ascii="Arial" w:hAnsi="Arial" w:cs="Arial"/>
                <w:lang w:val="es-CO"/>
              </w:rPr>
              <w:t xml:space="preserve"> </w:t>
            </w:r>
          </w:p>
          <w:p w:rsidR="00AB0293" w:rsidRPr="00380970" w:rsidRDefault="00F03BC9" w:rsidP="00190FD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lang w:val="es-CO"/>
              </w:rPr>
            </w:pPr>
            <w:r w:rsidRPr="00380970">
              <w:rPr>
                <w:rFonts w:ascii="Arial" w:hAnsi="Arial" w:cs="Arial"/>
                <w:lang w:val="es-CO"/>
              </w:rPr>
              <w:t>Seguimiento a la implementación</w:t>
            </w:r>
          </w:p>
          <w:p w:rsidR="00AB0293" w:rsidRPr="005E5AD9" w:rsidRDefault="00AB0293" w:rsidP="00DB655A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C73DB4" w:rsidRDefault="00C73DB4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157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73DB4" w:rsidRDefault="00C73DB4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1578" w:rsidRDefault="00267256" w:rsidP="00E3157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  <w:r w:rsidR="00E31578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73DB4" w:rsidRDefault="00C73DB4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1578" w:rsidRPr="00680AB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157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E31578" w:rsidRPr="00680AB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C73DB4" w:rsidRDefault="00C73DB4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157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73DB4" w:rsidRDefault="00C73DB4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157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31578" w:rsidRPr="00680AB8" w:rsidRDefault="00E31578" w:rsidP="00E3157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C73DB4" w:rsidRDefault="00C73DB4" w:rsidP="00E31578">
            <w:pPr>
              <w:jc w:val="both"/>
              <w:rPr>
                <w:rFonts w:ascii="Arial" w:hAnsi="Arial" w:cs="Arial"/>
              </w:rPr>
            </w:pPr>
          </w:p>
          <w:p w:rsidR="00A41C7B" w:rsidRDefault="00F31B31" w:rsidP="00E315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Serie documental </w:t>
            </w:r>
            <w:r w:rsidR="00525B6A">
              <w:rPr>
                <w:rFonts w:ascii="Arial" w:hAnsi="Arial" w:cs="Arial"/>
              </w:rPr>
              <w:t xml:space="preserve">que refleja el cumplimiento de las funciones relacionadas con la articulación, coordinación y ejecución de medidas de protección y apoyo a la prevención. Los expedientes </w:t>
            </w:r>
            <w:r w:rsidR="00402351">
              <w:rPr>
                <w:rFonts w:ascii="Arial" w:hAnsi="Arial" w:cs="Arial"/>
              </w:rPr>
              <w:t>s</w:t>
            </w:r>
            <w:proofErr w:type="spellStart"/>
            <w:r w:rsidR="00402351">
              <w:rPr>
                <w:rFonts w:ascii="Arial" w:hAnsi="Arial" w:cs="Arial"/>
                <w:lang w:val="es-CO"/>
              </w:rPr>
              <w:t>e</w:t>
            </w:r>
            <w:proofErr w:type="spellEnd"/>
            <w:r w:rsidR="00402351">
              <w:rPr>
                <w:rFonts w:ascii="Arial" w:hAnsi="Arial" w:cs="Arial"/>
                <w:lang w:val="es-CO"/>
              </w:rPr>
              <w:t xml:space="preserve"> deben conservar en su soporte original (físico),</w:t>
            </w:r>
            <w:r w:rsidR="00525B6A">
              <w:rPr>
                <w:rFonts w:ascii="Arial" w:hAnsi="Arial" w:cs="Arial"/>
              </w:rPr>
              <w:t xml:space="preserve"> por considerarse parte de la memoria institucional. Asegurar su conservación y reprografía finalizado el tiempo de retención en el archivo de gestión, para lo cual se debe garantizar su reproducción en un medio técnico, las imágenes se </w:t>
            </w:r>
            <w:r w:rsidR="00320EE6">
              <w:rPr>
                <w:rFonts w:ascii="Arial" w:hAnsi="Arial" w:cs="Arial"/>
              </w:rPr>
              <w:t>conservarán</w:t>
            </w:r>
            <w:r w:rsidR="00525B6A">
              <w:rPr>
                <w:rFonts w:ascii="Arial" w:hAnsi="Arial" w:cs="Arial"/>
              </w:rPr>
              <w:t xml:space="preserve"> permanentemente en un repositorio que garantice su fidelidad, seguridad, trazabilidad y fácil consulta.</w:t>
            </w:r>
            <w:r w:rsidR="00A41C7B">
              <w:rPr>
                <w:rFonts w:ascii="Arial" w:hAnsi="Arial" w:cs="Arial"/>
              </w:rPr>
              <w:t xml:space="preserve">  De acuerdo con la siguiente norma</w:t>
            </w:r>
            <w:r w:rsidR="00A41C7B">
              <w:t xml:space="preserve">; </w:t>
            </w:r>
            <w:r w:rsidR="00A41C7B" w:rsidRPr="00A41C7B">
              <w:rPr>
                <w:rFonts w:ascii="Arial" w:hAnsi="Arial" w:cs="Arial"/>
              </w:rPr>
              <w:t xml:space="preserve">UNIDAD NACIONAL DE </w:t>
            </w:r>
            <w:r w:rsidR="00A41C7B" w:rsidRPr="00A41C7B">
              <w:rPr>
                <w:rFonts w:ascii="Arial" w:hAnsi="Arial" w:cs="Arial"/>
              </w:rPr>
              <w:lastRenderedPageBreak/>
              <w:t>PROTECCIÓN. Decreto 4065 de 2011, Por el cual se crea la Unidad Nacional de Protección - UNP, se establecen su objetivo y estructura.</w:t>
            </w:r>
          </w:p>
          <w:p w:rsidR="00E31578" w:rsidRPr="00A41C7B" w:rsidRDefault="00E31578" w:rsidP="00A41C7B">
            <w:pPr>
              <w:ind w:firstLine="708"/>
              <w:rPr>
                <w:rFonts w:ascii="Arial" w:hAnsi="Arial" w:cs="Arial"/>
              </w:rPr>
            </w:pPr>
          </w:p>
        </w:tc>
      </w:tr>
      <w:tr w:rsidR="0081385B" w:rsidRPr="00680AB8" w:rsidTr="00835AC0">
        <w:tc>
          <w:tcPr>
            <w:tcW w:w="1101" w:type="dxa"/>
            <w:shd w:val="clear" w:color="auto" w:fill="auto"/>
          </w:tcPr>
          <w:p w:rsidR="00DB2F69" w:rsidRDefault="00DB2F69" w:rsidP="0081385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1385B" w:rsidRPr="00DB655A" w:rsidRDefault="00DB655A" w:rsidP="0081385B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  <w:r w:rsidR="0081385B" w:rsidRPr="00DB655A">
              <w:rPr>
                <w:rFonts w:ascii="Arial" w:hAnsi="Arial" w:cs="Arial"/>
                <w:sz w:val="18"/>
                <w:szCs w:val="18"/>
                <w:lang w:val="es-CO"/>
              </w:rPr>
              <w:t>00.</w:t>
            </w:r>
            <w:r w:rsidR="005F68CA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81385B" w:rsidRPr="00DB655A" w:rsidRDefault="00DB655A" w:rsidP="00DB655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  <w:r w:rsidR="0081385B" w:rsidRPr="00DB655A">
              <w:rPr>
                <w:rFonts w:ascii="Arial" w:hAnsi="Arial" w:cs="Arial"/>
                <w:sz w:val="18"/>
                <w:szCs w:val="18"/>
                <w:lang w:val="es-CO"/>
              </w:rPr>
              <w:t>00.</w:t>
            </w:r>
            <w:r w:rsidR="005F68CA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="0081385B" w:rsidRPr="00DB655A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5F68C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B2F69" w:rsidRDefault="00DB2F69" w:rsidP="0081385B">
            <w:pPr>
              <w:rPr>
                <w:rFonts w:ascii="Arial" w:hAnsi="Arial" w:cs="Arial"/>
                <w:b/>
                <w:lang w:val="es-CO"/>
              </w:rPr>
            </w:pPr>
          </w:p>
          <w:p w:rsidR="0081385B" w:rsidRPr="00DB655A" w:rsidRDefault="0081385B" w:rsidP="0081385B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81385B" w:rsidRPr="00DB655A" w:rsidRDefault="0081385B" w:rsidP="0081385B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81385B" w:rsidRPr="00125F44" w:rsidRDefault="0081385B" w:rsidP="00125F44">
            <w:pPr>
              <w:numPr>
                <w:ilvl w:val="0"/>
                <w:numId w:val="22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81385B" w:rsidRPr="00DB655A" w:rsidRDefault="0081385B" w:rsidP="0081385B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25F44" w:rsidRDefault="00125F44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B2F69" w:rsidRDefault="00DB2F69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5F44" w:rsidRDefault="00125F44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B2F69" w:rsidRDefault="00DB2F69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1385B" w:rsidRPr="00DB655A" w:rsidRDefault="00E359E5" w:rsidP="0081385B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25F44" w:rsidRDefault="00125F44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B2F69" w:rsidRDefault="00DB2F69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25F44" w:rsidRDefault="00125F44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B2F69" w:rsidRDefault="00DB2F69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25F44" w:rsidRDefault="00125F44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1385B" w:rsidRPr="00DB655A" w:rsidRDefault="0081385B" w:rsidP="0081385B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25F44" w:rsidRDefault="00125F44" w:rsidP="00DB655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DB2F69" w:rsidRDefault="00DB2F69" w:rsidP="00125F44">
            <w:pPr>
              <w:rPr>
                <w:rFonts w:ascii="Arial" w:hAnsi="Arial" w:cs="Arial"/>
              </w:rPr>
            </w:pPr>
          </w:p>
          <w:p w:rsidR="00125F44" w:rsidRDefault="00125F44" w:rsidP="00DB2F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DB2F69" w:rsidRDefault="00DB2F69" w:rsidP="00125F44">
            <w:pPr>
              <w:rPr>
                <w:rFonts w:ascii="Arial" w:hAnsi="Arial" w:cs="Arial"/>
              </w:rPr>
            </w:pPr>
          </w:p>
          <w:p w:rsidR="0081385B" w:rsidRPr="00DB655A" w:rsidRDefault="0081385B" w:rsidP="00DB655A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C850EA" w:rsidRPr="000B11E1" w:rsidRDefault="00C850EA">
      <w:pPr>
        <w:rPr>
          <w:rFonts w:ascii="Arial" w:hAnsi="Arial" w:cs="Arial"/>
          <w:lang w:val="es-CO"/>
        </w:rPr>
      </w:pPr>
      <w:bookmarkStart w:id="0" w:name="_GoBack"/>
      <w:bookmarkEnd w:id="0"/>
    </w:p>
    <w:sectPr w:rsidR="00C850EA" w:rsidRPr="000B11E1">
      <w:headerReference w:type="default" r:id="rId8"/>
      <w:footerReference w:type="default" r:id="rId9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40" w:rsidRDefault="00B42F40">
      <w:r>
        <w:separator/>
      </w:r>
    </w:p>
  </w:endnote>
  <w:endnote w:type="continuationSeparator" w:id="0">
    <w:p w:rsidR="00B42F40" w:rsidRDefault="00B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9C384C" w:rsidRDefault="009C384C" w:rsidP="009C38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7B48E4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7B48E4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7B48E4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9C384C" w:rsidRPr="009C384C" w:rsidRDefault="009C384C" w:rsidP="009C384C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9C384C" w:rsidP="009C384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7B48E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7B48E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9C384C" w:rsidRPr="00252D10" w:rsidRDefault="009C384C" w:rsidP="009C38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9C384C" w:rsidRPr="00252D10" w:rsidRDefault="009C384C" w:rsidP="009C384C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7B48E4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01790C" w:rsidRPr="00252D10" w:rsidRDefault="009C384C" w:rsidP="009C384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7B48E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7B48E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40" w:rsidRDefault="00B42F40">
      <w:r>
        <w:separator/>
      </w:r>
    </w:p>
  </w:footnote>
  <w:footnote w:type="continuationSeparator" w:id="0">
    <w:p w:rsidR="00B42F40" w:rsidRDefault="00B4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266CE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666F50">
      <w:rPr>
        <w:rFonts w:ascii="Arial" w:hAnsi="Arial"/>
      </w:rPr>
      <w:t>DIRECCION GENERAL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>PRODUCTORA: SUBDIRECCION DE</w:t>
    </w:r>
    <w:r w:rsidR="00666F50">
      <w:rPr>
        <w:rFonts w:ascii="Arial" w:hAnsi="Arial"/>
      </w:rPr>
      <w:t xml:space="preserve"> </w:t>
    </w:r>
    <w:r w:rsidR="00891EF2">
      <w:rPr>
        <w:rFonts w:ascii="Arial" w:hAnsi="Arial"/>
      </w:rPr>
      <w:t>EVALUACIÓN DEL RIESGO</w:t>
    </w:r>
    <w:r w:rsidR="003157E3">
      <w:rPr>
        <w:rFonts w:ascii="Arial" w:hAnsi="Arial"/>
      </w:rPr>
      <w:t xml:space="preserve">   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206ED3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7B48E4">
      <w:rPr>
        <w:rFonts w:ascii="Arial" w:hAnsi="Arial"/>
        <w:snapToGrid w:val="0"/>
      </w:rPr>
      <w:t>7</w:t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9C384C" w:rsidRDefault="009C384C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9C384C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9C384C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9C384C" w:rsidRPr="009C384C" w:rsidRDefault="009C384C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9C384C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9C384C" w:rsidRDefault="009C384C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936"/>
    <w:multiLevelType w:val="hybridMultilevel"/>
    <w:tmpl w:val="7848D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B2667C"/>
    <w:multiLevelType w:val="hybridMultilevel"/>
    <w:tmpl w:val="F3E0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6AEF"/>
    <w:multiLevelType w:val="hybridMultilevel"/>
    <w:tmpl w:val="5F245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05174"/>
    <w:multiLevelType w:val="hybridMultilevel"/>
    <w:tmpl w:val="20CE0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1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"/>
  </w:num>
  <w:num w:numId="5">
    <w:abstractNumId w:val="20"/>
  </w:num>
  <w:num w:numId="6">
    <w:abstractNumId w:val="16"/>
  </w:num>
  <w:num w:numId="7">
    <w:abstractNumId w:val="2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9"/>
  </w:num>
  <w:num w:numId="19">
    <w:abstractNumId w:val="3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70088"/>
    <w:rsid w:val="000912DA"/>
    <w:rsid w:val="000A066D"/>
    <w:rsid w:val="000B0AD5"/>
    <w:rsid w:val="000B11E1"/>
    <w:rsid w:val="000B2CF6"/>
    <w:rsid w:val="000B4116"/>
    <w:rsid w:val="000D29CF"/>
    <w:rsid w:val="000D6390"/>
    <w:rsid w:val="00114B47"/>
    <w:rsid w:val="0012055A"/>
    <w:rsid w:val="00121210"/>
    <w:rsid w:val="00125F44"/>
    <w:rsid w:val="00132A9C"/>
    <w:rsid w:val="00141C37"/>
    <w:rsid w:val="001568B1"/>
    <w:rsid w:val="001633C1"/>
    <w:rsid w:val="00171346"/>
    <w:rsid w:val="00172F24"/>
    <w:rsid w:val="00177747"/>
    <w:rsid w:val="001A5810"/>
    <w:rsid w:val="001C302E"/>
    <w:rsid w:val="001F7730"/>
    <w:rsid w:val="00206ED3"/>
    <w:rsid w:val="00221BDC"/>
    <w:rsid w:val="00225E18"/>
    <w:rsid w:val="00252D10"/>
    <w:rsid w:val="0026615D"/>
    <w:rsid w:val="00267256"/>
    <w:rsid w:val="00281751"/>
    <w:rsid w:val="002A5B5A"/>
    <w:rsid w:val="002C6E87"/>
    <w:rsid w:val="00305C0D"/>
    <w:rsid w:val="003157E3"/>
    <w:rsid w:val="00320EE6"/>
    <w:rsid w:val="00331552"/>
    <w:rsid w:val="003347E0"/>
    <w:rsid w:val="0034776C"/>
    <w:rsid w:val="003529F9"/>
    <w:rsid w:val="00356E3D"/>
    <w:rsid w:val="00373CB9"/>
    <w:rsid w:val="00380970"/>
    <w:rsid w:val="00384CC7"/>
    <w:rsid w:val="00385395"/>
    <w:rsid w:val="003B012E"/>
    <w:rsid w:val="003F7F26"/>
    <w:rsid w:val="00402351"/>
    <w:rsid w:val="0041262E"/>
    <w:rsid w:val="00413B4C"/>
    <w:rsid w:val="004224CF"/>
    <w:rsid w:val="00424BE6"/>
    <w:rsid w:val="004255AC"/>
    <w:rsid w:val="004266CE"/>
    <w:rsid w:val="00464B16"/>
    <w:rsid w:val="00471BAD"/>
    <w:rsid w:val="0049437B"/>
    <w:rsid w:val="004D2106"/>
    <w:rsid w:val="004D7E55"/>
    <w:rsid w:val="005117FD"/>
    <w:rsid w:val="00511EAD"/>
    <w:rsid w:val="005129C9"/>
    <w:rsid w:val="005237B6"/>
    <w:rsid w:val="00525B6A"/>
    <w:rsid w:val="0057343A"/>
    <w:rsid w:val="00587FFA"/>
    <w:rsid w:val="005C1C69"/>
    <w:rsid w:val="005C2DFC"/>
    <w:rsid w:val="005F68CA"/>
    <w:rsid w:val="00623837"/>
    <w:rsid w:val="0065303F"/>
    <w:rsid w:val="00666F50"/>
    <w:rsid w:val="00680AB8"/>
    <w:rsid w:val="006A5D52"/>
    <w:rsid w:val="006B1EF1"/>
    <w:rsid w:val="006C4474"/>
    <w:rsid w:val="006C7522"/>
    <w:rsid w:val="006D0F53"/>
    <w:rsid w:val="006D3543"/>
    <w:rsid w:val="006D7938"/>
    <w:rsid w:val="0072154B"/>
    <w:rsid w:val="00727098"/>
    <w:rsid w:val="00773484"/>
    <w:rsid w:val="00776E54"/>
    <w:rsid w:val="007B48E4"/>
    <w:rsid w:val="007C1D60"/>
    <w:rsid w:val="007E1B5A"/>
    <w:rsid w:val="008068A2"/>
    <w:rsid w:val="0081385B"/>
    <w:rsid w:val="00825A5F"/>
    <w:rsid w:val="00830EA9"/>
    <w:rsid w:val="00835AC0"/>
    <w:rsid w:val="00844346"/>
    <w:rsid w:val="0086445B"/>
    <w:rsid w:val="0087120A"/>
    <w:rsid w:val="00880913"/>
    <w:rsid w:val="00882612"/>
    <w:rsid w:val="00891EF2"/>
    <w:rsid w:val="008A0AC2"/>
    <w:rsid w:val="008C3AB9"/>
    <w:rsid w:val="008D3A03"/>
    <w:rsid w:val="009075FF"/>
    <w:rsid w:val="0092209D"/>
    <w:rsid w:val="0095056C"/>
    <w:rsid w:val="00954F97"/>
    <w:rsid w:val="0095504A"/>
    <w:rsid w:val="00976FF1"/>
    <w:rsid w:val="009916F9"/>
    <w:rsid w:val="009A0181"/>
    <w:rsid w:val="009A33F4"/>
    <w:rsid w:val="009C384C"/>
    <w:rsid w:val="009D4389"/>
    <w:rsid w:val="009E230A"/>
    <w:rsid w:val="009E426D"/>
    <w:rsid w:val="00A3131D"/>
    <w:rsid w:val="00A33D85"/>
    <w:rsid w:val="00A41C7B"/>
    <w:rsid w:val="00A87458"/>
    <w:rsid w:val="00AB0293"/>
    <w:rsid w:val="00AB5E00"/>
    <w:rsid w:val="00AC0245"/>
    <w:rsid w:val="00AC7579"/>
    <w:rsid w:val="00AE0326"/>
    <w:rsid w:val="00AE5735"/>
    <w:rsid w:val="00AF0900"/>
    <w:rsid w:val="00B160F3"/>
    <w:rsid w:val="00B31D77"/>
    <w:rsid w:val="00B42F40"/>
    <w:rsid w:val="00B50FBA"/>
    <w:rsid w:val="00B53B64"/>
    <w:rsid w:val="00B94305"/>
    <w:rsid w:val="00BE5082"/>
    <w:rsid w:val="00C00107"/>
    <w:rsid w:val="00C03840"/>
    <w:rsid w:val="00C13B56"/>
    <w:rsid w:val="00C1685C"/>
    <w:rsid w:val="00C45745"/>
    <w:rsid w:val="00C46F91"/>
    <w:rsid w:val="00C534C4"/>
    <w:rsid w:val="00C55166"/>
    <w:rsid w:val="00C73DB4"/>
    <w:rsid w:val="00C74CEA"/>
    <w:rsid w:val="00C825FF"/>
    <w:rsid w:val="00C831E5"/>
    <w:rsid w:val="00C850EA"/>
    <w:rsid w:val="00C9305A"/>
    <w:rsid w:val="00CA1B1B"/>
    <w:rsid w:val="00CA390D"/>
    <w:rsid w:val="00CB306A"/>
    <w:rsid w:val="00CD415F"/>
    <w:rsid w:val="00CF3A40"/>
    <w:rsid w:val="00D11A51"/>
    <w:rsid w:val="00D34F76"/>
    <w:rsid w:val="00D852A3"/>
    <w:rsid w:val="00D87661"/>
    <w:rsid w:val="00D94572"/>
    <w:rsid w:val="00D97E8F"/>
    <w:rsid w:val="00DB2F69"/>
    <w:rsid w:val="00DB655A"/>
    <w:rsid w:val="00DD16ED"/>
    <w:rsid w:val="00DE55C8"/>
    <w:rsid w:val="00DF610D"/>
    <w:rsid w:val="00E0573D"/>
    <w:rsid w:val="00E20155"/>
    <w:rsid w:val="00E24AE1"/>
    <w:rsid w:val="00E31578"/>
    <w:rsid w:val="00E359E5"/>
    <w:rsid w:val="00E40003"/>
    <w:rsid w:val="00E7024A"/>
    <w:rsid w:val="00E878FB"/>
    <w:rsid w:val="00ED4699"/>
    <w:rsid w:val="00F03BC9"/>
    <w:rsid w:val="00F14462"/>
    <w:rsid w:val="00F23D60"/>
    <w:rsid w:val="00F31B31"/>
    <w:rsid w:val="00F322C3"/>
    <w:rsid w:val="00F47F21"/>
    <w:rsid w:val="00F528A0"/>
    <w:rsid w:val="00F61EDE"/>
    <w:rsid w:val="00F657D8"/>
    <w:rsid w:val="00F72C47"/>
    <w:rsid w:val="00F82DA7"/>
    <w:rsid w:val="00F96204"/>
    <w:rsid w:val="00FB4987"/>
    <w:rsid w:val="00FD0075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0CC744"/>
  <w15:chartTrackingRefBased/>
  <w15:docId w15:val="{B7ADF91B-0DB0-45ED-99BF-D526D92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D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D7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74CC-F46D-44D7-A29A-633618E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3925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2020-05-18T18:52:00Z</cp:lastPrinted>
  <dcterms:created xsi:type="dcterms:W3CDTF">2020-05-18T18:55:00Z</dcterms:created>
  <dcterms:modified xsi:type="dcterms:W3CDTF">2020-05-18T18:55:00Z</dcterms:modified>
</cp:coreProperties>
</file>