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4B4CCA" w:rsidRPr="00680AB8" w:rsidTr="00BA5FFB">
        <w:tc>
          <w:tcPr>
            <w:tcW w:w="1101" w:type="dxa"/>
            <w:shd w:val="clear" w:color="auto" w:fill="auto"/>
          </w:tcPr>
          <w:p w:rsidR="004B4CCA" w:rsidRDefault="004B4CCA" w:rsidP="00BA5FFB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85282" w:rsidRPr="004B4CCA" w:rsidRDefault="00A85282" w:rsidP="00BA5FFB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650.1</w:t>
            </w:r>
          </w:p>
          <w:p w:rsidR="004B4CCA" w:rsidRDefault="004B4CCA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4CCA">
              <w:rPr>
                <w:rFonts w:ascii="Arial" w:hAnsi="Arial" w:cs="Arial"/>
                <w:sz w:val="18"/>
                <w:szCs w:val="18"/>
                <w:lang w:val="es-CO"/>
              </w:rPr>
              <w:t>650.</w:t>
            </w:r>
            <w:r w:rsidR="00A85282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4B4CCA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A85282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243BE" w:rsidRDefault="002243BE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243BE" w:rsidRDefault="002243BE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243BE" w:rsidRDefault="002243BE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243BE" w:rsidRDefault="002243BE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EE4E85" w:rsidRDefault="00EE4E85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EE4E85" w:rsidRDefault="00EE4E85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EE4E85" w:rsidRDefault="00EE4E85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EE4E85" w:rsidRDefault="00EE4E85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3B3F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4CCA">
              <w:rPr>
                <w:rFonts w:ascii="Arial" w:hAnsi="Arial" w:cs="Arial"/>
                <w:sz w:val="18"/>
                <w:szCs w:val="18"/>
                <w:lang w:val="es-CO"/>
              </w:rPr>
              <w:t>650.</w:t>
            </w:r>
            <w:r w:rsidR="002243BE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4B4CCA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  <w:p w:rsidR="00DD3B3F" w:rsidRPr="004B4CCA" w:rsidRDefault="00DD3B3F" w:rsidP="004B4C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A85282" w:rsidRDefault="00A85282" w:rsidP="00BA5FFB">
            <w:pPr>
              <w:rPr>
                <w:rFonts w:ascii="Arial" w:hAnsi="Arial" w:cs="Arial"/>
                <w:b/>
                <w:lang w:val="es-CO"/>
              </w:rPr>
            </w:pPr>
          </w:p>
          <w:p w:rsidR="004B4CCA" w:rsidRDefault="004B4CCA" w:rsidP="00BA5FFB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ACTAS</w:t>
            </w:r>
          </w:p>
          <w:p w:rsidR="004B4CCA" w:rsidRDefault="004B4CCA" w:rsidP="00BA5FFB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Actas C</w:t>
            </w:r>
            <w:r w:rsidR="00EB1549">
              <w:rPr>
                <w:rFonts w:ascii="Arial" w:hAnsi="Arial" w:cs="Arial"/>
                <w:b/>
                <w:lang w:val="es-CO"/>
              </w:rPr>
              <w:t xml:space="preserve">omité de </w:t>
            </w:r>
            <w:r>
              <w:rPr>
                <w:rFonts w:ascii="Arial" w:hAnsi="Arial" w:cs="Arial"/>
                <w:b/>
                <w:lang w:val="es-CO"/>
              </w:rPr>
              <w:t>E</w:t>
            </w:r>
            <w:r w:rsidR="00EB1549">
              <w:rPr>
                <w:rFonts w:ascii="Arial" w:hAnsi="Arial" w:cs="Arial"/>
                <w:b/>
                <w:lang w:val="es-CO"/>
              </w:rPr>
              <w:t xml:space="preserve">valuación de </w:t>
            </w:r>
            <w:r>
              <w:rPr>
                <w:rFonts w:ascii="Arial" w:hAnsi="Arial" w:cs="Arial"/>
                <w:b/>
                <w:lang w:val="es-CO"/>
              </w:rPr>
              <w:t>R</w:t>
            </w:r>
            <w:r w:rsidR="00EB1549">
              <w:rPr>
                <w:rFonts w:ascii="Arial" w:hAnsi="Arial" w:cs="Arial"/>
                <w:b/>
                <w:lang w:val="es-CO"/>
              </w:rPr>
              <w:t xml:space="preserve">iesgo y </w:t>
            </w:r>
            <w:r>
              <w:rPr>
                <w:rFonts w:ascii="Arial" w:hAnsi="Arial" w:cs="Arial"/>
                <w:b/>
                <w:lang w:val="es-CO"/>
              </w:rPr>
              <w:t>R</w:t>
            </w:r>
            <w:r w:rsidR="00EB1549">
              <w:rPr>
                <w:rFonts w:ascii="Arial" w:hAnsi="Arial" w:cs="Arial"/>
                <w:b/>
                <w:lang w:val="es-CO"/>
              </w:rPr>
              <w:t xml:space="preserve">ecomendaciones de </w:t>
            </w:r>
            <w:r>
              <w:rPr>
                <w:rFonts w:ascii="Arial" w:hAnsi="Arial" w:cs="Arial"/>
                <w:b/>
                <w:lang w:val="es-CO"/>
              </w:rPr>
              <w:t>M</w:t>
            </w:r>
            <w:r w:rsidR="00EB1549">
              <w:rPr>
                <w:rFonts w:ascii="Arial" w:hAnsi="Arial" w:cs="Arial"/>
                <w:b/>
                <w:lang w:val="es-CO"/>
              </w:rPr>
              <w:t>edidas (CERREM)</w:t>
            </w:r>
          </w:p>
          <w:p w:rsidR="00EB1549" w:rsidRDefault="00EB1549" w:rsidP="00EB1549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Acta</w:t>
            </w:r>
          </w:p>
          <w:p w:rsidR="004B4CCA" w:rsidRDefault="004B4CCA" w:rsidP="00EB1549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Agenda de casos </w:t>
            </w:r>
          </w:p>
          <w:p w:rsidR="00EB1549" w:rsidRDefault="00EB1549" w:rsidP="00EB1549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Comunicación convocatoria </w:t>
            </w:r>
          </w:p>
          <w:p w:rsidR="004B4CCA" w:rsidRPr="007B452A" w:rsidRDefault="004B4CCA" w:rsidP="00EB1549">
            <w:pPr>
              <w:ind w:left="72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 </w:t>
            </w:r>
          </w:p>
          <w:p w:rsidR="004B4CCA" w:rsidRDefault="004B4CCA" w:rsidP="00EB1549">
            <w:pPr>
              <w:ind w:left="720"/>
              <w:rPr>
                <w:rFonts w:ascii="Arial" w:hAnsi="Arial" w:cs="Arial"/>
                <w:lang w:val="es-CO"/>
              </w:rPr>
            </w:pPr>
          </w:p>
          <w:p w:rsidR="002D4B4A" w:rsidRDefault="002D4B4A" w:rsidP="002D4B4A">
            <w:pPr>
              <w:rPr>
                <w:rFonts w:ascii="Arial" w:hAnsi="Arial" w:cs="Arial"/>
                <w:lang w:val="es-CO"/>
              </w:rPr>
            </w:pPr>
          </w:p>
          <w:p w:rsidR="002D4B4A" w:rsidRDefault="002D4B4A" w:rsidP="002D4B4A">
            <w:pPr>
              <w:rPr>
                <w:rFonts w:ascii="Arial" w:hAnsi="Arial" w:cs="Arial"/>
                <w:lang w:val="es-CO"/>
              </w:rPr>
            </w:pPr>
          </w:p>
          <w:p w:rsidR="002D4B4A" w:rsidRDefault="002D4B4A" w:rsidP="002D4B4A">
            <w:pPr>
              <w:rPr>
                <w:rFonts w:ascii="Arial" w:hAnsi="Arial" w:cs="Arial"/>
                <w:lang w:val="es-CO"/>
              </w:rPr>
            </w:pPr>
          </w:p>
          <w:p w:rsidR="002243BE" w:rsidRDefault="002243BE" w:rsidP="002D4B4A">
            <w:pPr>
              <w:rPr>
                <w:rFonts w:ascii="Arial" w:hAnsi="Arial" w:cs="Arial"/>
                <w:lang w:val="es-CO"/>
              </w:rPr>
            </w:pPr>
          </w:p>
          <w:p w:rsidR="002243BE" w:rsidRDefault="002243BE" w:rsidP="002D4B4A">
            <w:pPr>
              <w:rPr>
                <w:rFonts w:ascii="Arial" w:hAnsi="Arial" w:cs="Arial"/>
                <w:lang w:val="es-CO"/>
              </w:rPr>
            </w:pPr>
          </w:p>
          <w:p w:rsidR="002243BE" w:rsidRDefault="002243BE" w:rsidP="002D4B4A">
            <w:pPr>
              <w:rPr>
                <w:rFonts w:ascii="Arial" w:hAnsi="Arial" w:cs="Arial"/>
                <w:lang w:val="es-CO"/>
              </w:rPr>
            </w:pPr>
          </w:p>
          <w:p w:rsidR="00DD3B3F" w:rsidRDefault="00DD3B3F" w:rsidP="002D4B4A">
            <w:pPr>
              <w:rPr>
                <w:rFonts w:ascii="Arial" w:hAnsi="Arial" w:cs="Arial"/>
                <w:lang w:val="es-CO"/>
              </w:rPr>
            </w:pPr>
          </w:p>
          <w:p w:rsidR="00DD3B3F" w:rsidRDefault="00DD3B3F" w:rsidP="002D4B4A">
            <w:pPr>
              <w:rPr>
                <w:rFonts w:ascii="Arial" w:hAnsi="Arial" w:cs="Arial"/>
                <w:lang w:val="es-CO"/>
              </w:rPr>
            </w:pPr>
          </w:p>
          <w:p w:rsidR="00DD3B3F" w:rsidRDefault="00DD3B3F" w:rsidP="002D4B4A">
            <w:pPr>
              <w:rPr>
                <w:rFonts w:ascii="Arial" w:hAnsi="Arial" w:cs="Arial"/>
                <w:lang w:val="es-CO"/>
              </w:rPr>
            </w:pPr>
          </w:p>
          <w:p w:rsidR="00DD3B3F" w:rsidRDefault="00DD3B3F" w:rsidP="002D4B4A">
            <w:pPr>
              <w:rPr>
                <w:rFonts w:ascii="Arial" w:hAnsi="Arial" w:cs="Arial"/>
                <w:lang w:val="es-CO"/>
              </w:rPr>
            </w:pPr>
          </w:p>
          <w:p w:rsidR="00DD3B3F" w:rsidRDefault="00DD3B3F" w:rsidP="002D4B4A">
            <w:pPr>
              <w:rPr>
                <w:rFonts w:ascii="Arial" w:hAnsi="Arial" w:cs="Arial"/>
                <w:lang w:val="es-CO"/>
              </w:rPr>
            </w:pPr>
          </w:p>
          <w:p w:rsidR="00DD3B3F" w:rsidRDefault="00DD3B3F" w:rsidP="002D4B4A">
            <w:pPr>
              <w:rPr>
                <w:rFonts w:ascii="Arial" w:hAnsi="Arial" w:cs="Arial"/>
                <w:lang w:val="es-CO"/>
              </w:rPr>
            </w:pPr>
          </w:p>
          <w:p w:rsidR="00810B48" w:rsidRDefault="00810B48" w:rsidP="00DD3B3F">
            <w:pPr>
              <w:rPr>
                <w:rFonts w:ascii="Arial" w:hAnsi="Arial" w:cs="Arial"/>
                <w:b/>
                <w:lang w:val="es-CO"/>
              </w:rPr>
            </w:pPr>
          </w:p>
          <w:p w:rsidR="00EE4E85" w:rsidRDefault="00EE4E85" w:rsidP="00DD3B3F">
            <w:pPr>
              <w:rPr>
                <w:rFonts w:ascii="Arial" w:hAnsi="Arial" w:cs="Arial"/>
                <w:b/>
                <w:lang w:val="es-CO"/>
              </w:rPr>
            </w:pPr>
          </w:p>
          <w:p w:rsidR="00EE4E85" w:rsidRDefault="00EE4E85" w:rsidP="00DD3B3F">
            <w:pPr>
              <w:rPr>
                <w:rFonts w:ascii="Arial" w:hAnsi="Arial" w:cs="Arial"/>
                <w:b/>
                <w:lang w:val="es-CO"/>
              </w:rPr>
            </w:pPr>
          </w:p>
          <w:p w:rsidR="00EE4E85" w:rsidRDefault="00EE4E85" w:rsidP="00DD3B3F">
            <w:pPr>
              <w:rPr>
                <w:rFonts w:ascii="Arial" w:hAnsi="Arial" w:cs="Arial"/>
                <w:b/>
                <w:lang w:val="es-CO"/>
              </w:rPr>
            </w:pPr>
          </w:p>
          <w:p w:rsidR="00DD3B3F" w:rsidRDefault="00DD3B3F" w:rsidP="00DD3B3F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Actas </w:t>
            </w:r>
            <w:r w:rsidRPr="002D4B4A">
              <w:rPr>
                <w:rFonts w:ascii="Arial" w:hAnsi="Arial" w:cs="Arial"/>
                <w:b/>
                <w:lang w:val="es-CO"/>
              </w:rPr>
              <w:t>Comité Especial de Servidores y Ex Servidores Públicos</w:t>
            </w:r>
          </w:p>
          <w:p w:rsidR="00DD3B3F" w:rsidRDefault="00DD3B3F" w:rsidP="00DD3B3F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Acta</w:t>
            </w:r>
          </w:p>
          <w:p w:rsidR="00DD3B3F" w:rsidRDefault="00DD3B3F" w:rsidP="00DD3B3F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Agenda de casos </w:t>
            </w:r>
          </w:p>
          <w:p w:rsidR="00DD3B3F" w:rsidRDefault="00DD3B3F" w:rsidP="00DD3B3F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Comunicación convocatoria </w:t>
            </w:r>
          </w:p>
          <w:p w:rsidR="00DD3B3F" w:rsidRDefault="00DD3B3F" w:rsidP="002D4B4A">
            <w:pPr>
              <w:rPr>
                <w:rFonts w:ascii="Arial" w:hAnsi="Arial" w:cs="Arial"/>
                <w:lang w:val="es-CO"/>
              </w:rPr>
            </w:pPr>
          </w:p>
          <w:p w:rsidR="002D4B4A" w:rsidRPr="003F03FF" w:rsidRDefault="002D4B4A" w:rsidP="002D4B4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A85282" w:rsidRDefault="00A85282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85282" w:rsidRDefault="00A85282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B4CCA" w:rsidRDefault="004B4CCA" w:rsidP="00BA5FF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Pr="00680AB8" w:rsidRDefault="00DD3B3F" w:rsidP="00EE4E85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85282" w:rsidRDefault="00A85282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85282" w:rsidRDefault="00A85282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B4CCA" w:rsidRDefault="001D283A" w:rsidP="00BA5FF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</w:t>
            </w:r>
            <w:r w:rsidR="004B4CCA">
              <w:rPr>
                <w:rFonts w:ascii="Arial" w:hAnsi="Arial" w:cs="Arial"/>
                <w:lang w:val="es-CO"/>
              </w:rPr>
              <w:t>8</w:t>
            </w: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Pr="00680AB8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B4CCA" w:rsidRDefault="004B4CCA" w:rsidP="00BA5FF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Pr="00680AB8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4B4CCA" w:rsidRPr="00680AB8" w:rsidRDefault="004B4CCA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4B4CCA" w:rsidRPr="00680AB8" w:rsidRDefault="004B4CCA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B4CCA" w:rsidRDefault="004B4CCA" w:rsidP="00BA5FF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Pr="00680AB8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B4CCA" w:rsidRDefault="004B4CCA" w:rsidP="00BA5FF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43BE" w:rsidRDefault="002243BE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E4E85" w:rsidRDefault="00EE4E85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D3B3F" w:rsidRPr="00680AB8" w:rsidRDefault="00DD3B3F" w:rsidP="00BA5FF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4B4CCA" w:rsidRDefault="004B4CCA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B4CCA" w:rsidRPr="00680AB8" w:rsidRDefault="004B4CCA" w:rsidP="00BA5FF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2243BE" w:rsidRDefault="002243BE" w:rsidP="004B4CCA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2243BE" w:rsidRDefault="002243BE" w:rsidP="004B4CCA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2D4B4A" w:rsidRDefault="001D283A" w:rsidP="004B4CCA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Subserie documental que refleja las actuaciones del comité encargado de</w:t>
            </w:r>
            <w:r w:rsidRPr="001D283A">
              <w:rPr>
                <w:rFonts w:ascii="Arial" w:hAnsi="Arial" w:cs="Arial"/>
                <w:lang w:val="es-CO"/>
              </w:rPr>
              <w:t xml:space="preserve"> llevar a cabo la valoración integral del riesgo, así como la recomendación de medidas de protección y acciones complementarias</w:t>
            </w:r>
            <w:r>
              <w:rPr>
                <w:rFonts w:ascii="Arial" w:hAnsi="Arial" w:cs="Arial"/>
                <w:lang w:val="es-CO"/>
              </w:rPr>
              <w:t>. Constituye parte de la memoria institucional porqué refleja decisiones técnicas propias de la Unidad Nacional de Protección</w:t>
            </w:r>
            <w:r w:rsidR="00EE4E85">
              <w:rPr>
                <w:rFonts w:ascii="Arial" w:hAnsi="Arial" w:cs="Arial"/>
                <w:lang w:val="es-CO"/>
              </w:rPr>
              <w:t xml:space="preserve">. </w:t>
            </w:r>
            <w:r w:rsidR="00726BBF">
              <w:rPr>
                <w:rFonts w:ascii="Arial" w:hAnsi="Arial" w:cs="Arial"/>
                <w:lang w:val="es-CO"/>
              </w:rPr>
              <w:t>Se deben conservar en su soporte original (físico),</w:t>
            </w:r>
            <w:r w:rsidR="00DD3B3F">
              <w:rPr>
                <w:rFonts w:ascii="Arial" w:hAnsi="Arial" w:cs="Arial"/>
                <w:lang w:val="es-CO"/>
              </w:rPr>
              <w:t xml:space="preserve"> por considerarse parte de la memoria institucional por lo cual se debe garantizar su digitalización para el aseguramiento de la información y posteriores consultas.</w:t>
            </w:r>
            <w:r w:rsidR="00EE4E85">
              <w:rPr>
                <w:rFonts w:ascii="Arial" w:hAnsi="Arial" w:cs="Arial"/>
                <w:lang w:val="es-CO"/>
              </w:rPr>
              <w:t xml:space="preserve"> De acuerdo con la siguiente norma</w:t>
            </w:r>
            <w:r w:rsidR="00EE4E85">
              <w:t xml:space="preserve">; </w:t>
            </w:r>
            <w:r w:rsidR="00EE4E85" w:rsidRPr="00EE4E85">
              <w:rPr>
                <w:rFonts w:ascii="Arial" w:hAnsi="Arial" w:cs="Arial"/>
                <w:lang w:val="es-CO"/>
              </w:rPr>
              <w:t xml:space="preserve">UNIDAD NACIONAL DE PROTECCIÓN. </w:t>
            </w:r>
            <w:r w:rsidR="00EE4E85" w:rsidRPr="00EE4E85">
              <w:rPr>
                <w:rFonts w:ascii="Arial" w:hAnsi="Arial" w:cs="Arial"/>
                <w:lang w:val="es-CO"/>
              </w:rPr>
              <w:lastRenderedPageBreak/>
              <w:t>Decreto 1066 de 2015. “Por medio del cual se expide el Decreto Único Reglamentario del Sector Administrativo del Interior”.</w:t>
            </w:r>
          </w:p>
          <w:p w:rsidR="002243BE" w:rsidRDefault="002243BE" w:rsidP="004B4CCA">
            <w:pPr>
              <w:jc w:val="both"/>
              <w:rPr>
                <w:rFonts w:ascii="Arial" w:hAnsi="Arial" w:cs="Arial"/>
              </w:rPr>
            </w:pPr>
          </w:p>
          <w:p w:rsidR="00DD3B3F" w:rsidRPr="00E42B7E" w:rsidRDefault="00DD3B3F" w:rsidP="001D6B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Subserie documental que refleja las actuaciones del comité encargado de</w:t>
            </w:r>
            <w:r w:rsidRPr="001D283A">
              <w:rPr>
                <w:rFonts w:ascii="Arial" w:hAnsi="Arial" w:cs="Arial"/>
                <w:lang w:val="es-CO"/>
              </w:rPr>
              <w:t xml:space="preserve"> llevar a cabo la valoración integral del riesgo, así como la recomendación de medidas de protección y acciones complementarias</w:t>
            </w:r>
            <w:r w:rsidR="00083DCA">
              <w:rPr>
                <w:rFonts w:ascii="Arial" w:hAnsi="Arial" w:cs="Arial"/>
                <w:lang w:val="es-CO"/>
              </w:rPr>
              <w:t xml:space="preserve"> con servidores y ex servidores </w:t>
            </w:r>
            <w:r w:rsidR="004609C6">
              <w:rPr>
                <w:rFonts w:ascii="Arial" w:hAnsi="Arial" w:cs="Arial"/>
                <w:lang w:val="es-CO"/>
              </w:rPr>
              <w:t>públicos</w:t>
            </w:r>
            <w:r>
              <w:rPr>
                <w:rFonts w:ascii="Arial" w:hAnsi="Arial" w:cs="Arial"/>
                <w:lang w:val="es-CO"/>
              </w:rPr>
              <w:t xml:space="preserve">. Constituye parte de la memoria institucional porqué refleja decisiones técnicas propias de la Unidad Nacional de Protección. </w:t>
            </w:r>
            <w:r w:rsidR="00726BBF">
              <w:rPr>
                <w:rFonts w:ascii="Arial" w:hAnsi="Arial" w:cs="Arial"/>
                <w:lang w:val="es-CO"/>
              </w:rPr>
              <w:t>Se deben conservar en su soporte original (físico),</w:t>
            </w:r>
            <w:r>
              <w:rPr>
                <w:rFonts w:ascii="Arial" w:hAnsi="Arial" w:cs="Arial"/>
                <w:lang w:val="es-CO"/>
              </w:rPr>
              <w:t xml:space="preserve"> por considerarse parte de la memoria institucional por lo cual se debe garantizar su digitalización para el aseguramiento </w:t>
            </w:r>
            <w:r>
              <w:rPr>
                <w:rFonts w:ascii="Arial" w:hAnsi="Arial" w:cs="Arial"/>
                <w:lang w:val="es-CO"/>
              </w:rPr>
              <w:lastRenderedPageBreak/>
              <w:t>de la información y posteriores consultas.</w:t>
            </w:r>
            <w:r w:rsidR="00C152CE">
              <w:rPr>
                <w:rFonts w:ascii="Arial" w:hAnsi="Arial" w:cs="Arial"/>
                <w:lang w:val="es-CO"/>
              </w:rPr>
              <w:t xml:space="preserve"> De acuerdo con la siguiente norma</w:t>
            </w:r>
            <w:r w:rsidR="00C152CE">
              <w:t xml:space="preserve">; </w:t>
            </w:r>
            <w:r w:rsidR="00C152CE" w:rsidRPr="00EE4E85">
              <w:rPr>
                <w:rFonts w:ascii="Arial" w:hAnsi="Arial" w:cs="Arial"/>
                <w:lang w:val="es-CO"/>
              </w:rPr>
              <w:t>UNIDAD NACIONAL DE PROTECCIÓN. Decreto 1066 de 2015. “Por medio del cual se expide el Decreto Único</w:t>
            </w:r>
            <w:r w:rsidR="00C152CE">
              <w:rPr>
                <w:rFonts w:ascii="Arial" w:hAnsi="Arial" w:cs="Arial"/>
                <w:lang w:val="es-CO"/>
              </w:rPr>
              <w:t xml:space="preserve"> </w:t>
            </w:r>
            <w:r w:rsidR="00C152CE" w:rsidRPr="00EE4E85">
              <w:rPr>
                <w:rFonts w:ascii="Arial" w:hAnsi="Arial" w:cs="Arial"/>
                <w:lang w:val="es-CO"/>
              </w:rPr>
              <w:t>Reglamentario del Sector Administrativo del Interior”.</w:t>
            </w:r>
          </w:p>
        </w:tc>
      </w:tr>
      <w:tr w:rsidR="00083DCA" w:rsidRPr="00680AB8" w:rsidTr="00BA5FFB">
        <w:tc>
          <w:tcPr>
            <w:tcW w:w="1101" w:type="dxa"/>
            <w:shd w:val="clear" w:color="auto" w:fill="auto"/>
          </w:tcPr>
          <w:p w:rsidR="00083DCA" w:rsidRPr="004B4CCA" w:rsidRDefault="00083DCA" w:rsidP="00083D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4CCA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650.</w:t>
            </w:r>
            <w:r w:rsidR="003B4D5D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  <w:p w:rsidR="00083DCA" w:rsidRPr="004B4CCA" w:rsidRDefault="00083DCA" w:rsidP="00083D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4CCA">
              <w:rPr>
                <w:rFonts w:ascii="Arial" w:hAnsi="Arial" w:cs="Arial"/>
                <w:sz w:val="18"/>
                <w:szCs w:val="18"/>
                <w:lang w:val="es-CO"/>
              </w:rPr>
              <w:t>650.</w:t>
            </w:r>
            <w:r w:rsidR="003B4D5D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  <w:r w:rsidRPr="004B4CCA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3B4D5D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83DCA" w:rsidRPr="00DB655A" w:rsidRDefault="00083DCA" w:rsidP="00083DCA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083DCA" w:rsidRPr="00DB655A" w:rsidRDefault="00083DCA" w:rsidP="00083DCA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083DCA" w:rsidRPr="00125F44" w:rsidRDefault="00083DCA" w:rsidP="00083DCA">
            <w:pPr>
              <w:numPr>
                <w:ilvl w:val="0"/>
                <w:numId w:val="26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083DCA" w:rsidRPr="00DB655A" w:rsidRDefault="00083DCA" w:rsidP="00083DCA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083DCA" w:rsidRDefault="00083DCA" w:rsidP="00083DC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3DCA" w:rsidRPr="00DB655A" w:rsidRDefault="00083DCA" w:rsidP="00083DCA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83DCA" w:rsidRDefault="00083DCA" w:rsidP="00083DC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3DCA" w:rsidRPr="00DB655A" w:rsidRDefault="000D70AE" w:rsidP="00083DC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83DCA" w:rsidRPr="00DB655A" w:rsidRDefault="00083DCA" w:rsidP="00083DC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83DCA" w:rsidRDefault="00083DCA" w:rsidP="00083DC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3DCA" w:rsidRPr="00DB655A" w:rsidRDefault="00083DCA" w:rsidP="00083DCA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083DCA" w:rsidRPr="00DB655A" w:rsidRDefault="00083DCA" w:rsidP="00083DC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83DCA" w:rsidRPr="00DB655A" w:rsidRDefault="00083DCA" w:rsidP="00083DC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083DCA" w:rsidRDefault="00083DCA" w:rsidP="00083DC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3DCA" w:rsidRPr="00DB655A" w:rsidRDefault="00083DCA" w:rsidP="00083DCA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83DCA" w:rsidRDefault="00083DCA" w:rsidP="00083DC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3DCA" w:rsidRPr="00DB655A" w:rsidRDefault="00083DCA" w:rsidP="00083DC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083DCA" w:rsidRDefault="00083DCA" w:rsidP="00083DCA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4C3C7A" w:rsidRPr="001127EB" w:rsidRDefault="00083DCA" w:rsidP="00083D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</w:t>
            </w:r>
            <w:r>
              <w:rPr>
                <w:rFonts w:ascii="Arial" w:hAnsi="Arial" w:cs="Arial"/>
              </w:rPr>
              <w:lastRenderedPageBreak/>
              <w:t>Información, serie: Informes, Subserie: Informes de Gestión.</w:t>
            </w:r>
          </w:p>
        </w:tc>
      </w:tr>
      <w:tr w:rsidR="00127F74" w:rsidRPr="00680AB8" w:rsidTr="00BA5FFB">
        <w:tc>
          <w:tcPr>
            <w:tcW w:w="1101" w:type="dxa"/>
            <w:shd w:val="clear" w:color="auto" w:fill="auto"/>
          </w:tcPr>
          <w:p w:rsidR="00127F74" w:rsidRDefault="00127F74" w:rsidP="00083D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650.3</w:t>
            </w:r>
          </w:p>
          <w:p w:rsidR="00127F74" w:rsidRPr="004B4CCA" w:rsidRDefault="00127F74" w:rsidP="00083DC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650.3.1</w:t>
            </w:r>
          </w:p>
        </w:tc>
        <w:tc>
          <w:tcPr>
            <w:tcW w:w="4252" w:type="dxa"/>
            <w:shd w:val="clear" w:color="auto" w:fill="auto"/>
          </w:tcPr>
          <w:p w:rsidR="00127F74" w:rsidRDefault="00127F74" w:rsidP="00083DCA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RESOLUCIONES</w:t>
            </w:r>
          </w:p>
          <w:p w:rsidR="00127F74" w:rsidRDefault="00127F74" w:rsidP="00083DCA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Resoluciones De </w:t>
            </w:r>
            <w:proofErr w:type="spellStart"/>
            <w:r>
              <w:rPr>
                <w:rFonts w:ascii="Arial" w:hAnsi="Arial" w:cs="Arial"/>
                <w:b/>
                <w:lang w:val="es-CO"/>
              </w:rPr>
              <w:t>C</w:t>
            </w:r>
            <w:r w:rsidR="0061274F">
              <w:rPr>
                <w:rFonts w:ascii="Arial" w:hAnsi="Arial" w:cs="Arial"/>
                <w:b/>
                <w:lang w:val="es-CO"/>
              </w:rPr>
              <w:t>errem</w:t>
            </w:r>
            <w:proofErr w:type="spellEnd"/>
          </w:p>
          <w:p w:rsidR="00127F74" w:rsidRPr="0065785B" w:rsidRDefault="006E3991" w:rsidP="00127F7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lang w:val="es-CO"/>
              </w:rPr>
            </w:pPr>
            <w:r w:rsidRPr="0065785B">
              <w:rPr>
                <w:rFonts w:ascii="Arial" w:hAnsi="Arial" w:cs="Arial"/>
                <w:lang w:val="es-CO"/>
              </w:rPr>
              <w:t>Resolución</w:t>
            </w:r>
          </w:p>
        </w:tc>
        <w:tc>
          <w:tcPr>
            <w:tcW w:w="709" w:type="dxa"/>
            <w:shd w:val="clear" w:color="auto" w:fill="auto"/>
          </w:tcPr>
          <w:p w:rsidR="00127F74" w:rsidRDefault="006E3991" w:rsidP="00083DC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27F74" w:rsidRDefault="006E3991" w:rsidP="00083DC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127F74" w:rsidRPr="00DB655A" w:rsidRDefault="006E3991" w:rsidP="00083DC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F74" w:rsidRDefault="00127F74" w:rsidP="00083DC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127F74" w:rsidRPr="00DB655A" w:rsidRDefault="00127F74" w:rsidP="00083DC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27F74" w:rsidRPr="00DB655A" w:rsidRDefault="006E3991" w:rsidP="00083DC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27F74" w:rsidRDefault="006E3991" w:rsidP="00083DC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27F74" w:rsidRDefault="006E3991" w:rsidP="00083DC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:rsidR="00127F74" w:rsidRDefault="006E3991" w:rsidP="005877A5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Serie documental de carácter administrativo y legal que refleja la toma de decisiones y forman parte de la memoria institucional de la entidad, qué por su naturaleza técnica, administrativa o financiera representa para la Unidad Nacional de Protección la base histórica de la </w:t>
            </w:r>
            <w:r w:rsidR="00936F2D">
              <w:rPr>
                <w:rFonts w:ascii="Arial" w:hAnsi="Arial" w:cs="Arial"/>
                <w:lang w:val="es-CO"/>
              </w:rPr>
              <w:t xml:space="preserve">misionalidad de la </w:t>
            </w:r>
            <w:r>
              <w:rPr>
                <w:rFonts w:ascii="Arial" w:hAnsi="Arial" w:cs="Arial"/>
                <w:lang w:val="es-CO"/>
              </w:rPr>
              <w:t xml:space="preserve">entidad. Se deben conservar en su soporte original (físico), por considerarse parte de la memoria institucional por lo cual se debe garantizar su digitalización para el aseguramiento de la información y para posteriores consultas. De acuerdo con la siguiente norma;  </w:t>
            </w:r>
            <w:r w:rsidRPr="004B4A1E">
              <w:rPr>
                <w:rFonts w:ascii="Arial" w:hAnsi="Arial" w:cs="Arial"/>
                <w:lang w:val="es-CO"/>
              </w:rPr>
              <w:t xml:space="preserve">UNIDAD NACIONAL DE PROTECCIÓN. Decreto 4065 de </w:t>
            </w:r>
            <w:r w:rsidRPr="004B4A1E">
              <w:rPr>
                <w:rFonts w:ascii="Arial" w:hAnsi="Arial" w:cs="Arial"/>
                <w:lang w:val="es-CO"/>
              </w:rPr>
              <w:lastRenderedPageBreak/>
              <w:t>2011, Por el cual se crea la Unidad Nacional de Protección - UNP, se establecen su objetivo y estructura.</w:t>
            </w:r>
          </w:p>
        </w:tc>
      </w:tr>
    </w:tbl>
    <w:p w:rsidR="00C850EA" w:rsidRPr="000B11E1" w:rsidRDefault="00C850EA">
      <w:pPr>
        <w:rPr>
          <w:rFonts w:ascii="Arial" w:hAnsi="Arial" w:cs="Arial"/>
          <w:lang w:val="es-CO"/>
        </w:rPr>
      </w:pPr>
      <w:bookmarkStart w:id="0" w:name="_GoBack"/>
      <w:bookmarkEnd w:id="0"/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D3" w:rsidRDefault="00623AD3">
      <w:r>
        <w:separator/>
      </w:r>
    </w:p>
  </w:endnote>
  <w:endnote w:type="continuationSeparator" w:id="0">
    <w:p w:rsidR="00623AD3" w:rsidRDefault="0062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01790C" w:rsidRPr="00252D10" w:rsidTr="00356E3D">
      <w:trPr>
        <w:cantSplit/>
      </w:trPr>
      <w:tc>
        <w:tcPr>
          <w:tcW w:w="1630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01790C" w:rsidRPr="00252D10" w:rsidRDefault="0001790C" w:rsidP="00356E3D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01790C" w:rsidRPr="00252D10" w:rsidRDefault="0001790C" w:rsidP="00B94305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01790C" w:rsidRPr="00252D10" w:rsidRDefault="0001790C" w:rsidP="00356E3D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01790C" w:rsidRPr="00252D10" w:rsidRDefault="0001790C" w:rsidP="00356E3D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78357E" w:rsidRDefault="0078357E" w:rsidP="0078357E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A22498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A22498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A22498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78357E" w:rsidRPr="0078357E" w:rsidRDefault="0078357E" w:rsidP="0078357E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01790C" w:rsidRPr="00252D10" w:rsidRDefault="0078357E" w:rsidP="0078357E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A22498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A22498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B94305" w:rsidRPr="00252D10">
            <w:rPr>
              <w:rFonts w:cs="Arial"/>
              <w:sz w:val="16"/>
              <w:szCs w:val="16"/>
            </w:rPr>
            <w:t>RESPONSABLE</w:t>
          </w:r>
          <w:r w:rsidR="00B94305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78357E" w:rsidRPr="00252D10" w:rsidRDefault="0078357E" w:rsidP="0078357E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78357E" w:rsidRPr="00252D10" w:rsidRDefault="0078357E" w:rsidP="0078357E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A22498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01790C" w:rsidRPr="00252D10" w:rsidRDefault="0078357E" w:rsidP="0078357E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A22498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A22498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D3" w:rsidRDefault="00623AD3">
      <w:r>
        <w:separator/>
      </w:r>
    </w:p>
  </w:footnote>
  <w:footnote w:type="continuationSeparator" w:id="0">
    <w:p w:rsidR="00623AD3" w:rsidRDefault="0062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3E382A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3C64EC">
      <w:rPr>
        <w:rFonts w:ascii="Arial" w:hAnsi="Arial"/>
      </w:rPr>
      <w:t>SUBDIRECCION DE EVALUACIÓN DEL RIESGO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891EF2">
      <w:rPr>
        <w:rFonts w:ascii="Arial" w:hAnsi="Arial"/>
      </w:rPr>
      <w:t xml:space="preserve">PRODUCTORA: </w:t>
    </w:r>
    <w:r w:rsidR="003C64EC" w:rsidRPr="003C64EC">
      <w:rPr>
        <w:rFonts w:ascii="Arial" w:hAnsi="Arial"/>
      </w:rPr>
      <w:t>GRUPO SECRETARÍA TÉCNICA DEL COMITÉ DE EVALUACIÓN DE RIESGO Y RECOMENDACIÓN DE MEDIDAS (</w:t>
    </w:r>
    <w:proofErr w:type="gramStart"/>
    <w:r w:rsidR="001D283A" w:rsidRPr="003C64EC">
      <w:rPr>
        <w:rFonts w:ascii="Arial" w:hAnsi="Arial"/>
      </w:rPr>
      <w:t>CERREM)</w:t>
    </w:r>
    <w:r w:rsidR="001D283A">
      <w:rPr>
        <w:rFonts w:ascii="Arial" w:hAnsi="Arial"/>
      </w:rPr>
      <w:t xml:space="preserve">  </w:t>
    </w:r>
    <w:r w:rsidR="003157E3">
      <w:rPr>
        <w:rFonts w:ascii="Arial" w:hAnsi="Arial"/>
      </w:rPr>
      <w:t xml:space="preserve"> </w:t>
    </w:r>
    <w:proofErr w:type="gramEnd"/>
    <w:r w:rsidR="003157E3">
      <w:rPr>
        <w:rFonts w:ascii="Arial" w:hAnsi="Arial"/>
      </w:rPr>
      <w:t xml:space="preserve">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 w:rsidR="003C64EC">
      <w:rPr>
        <w:rFonts w:ascii="Arial" w:hAnsi="Arial"/>
      </w:rPr>
      <w:t xml:space="preserve">                 </w:t>
    </w:r>
    <w:r w:rsidR="003C64EC">
      <w:rPr>
        <w:rFonts w:ascii="Arial" w:hAnsi="Arial"/>
      </w:rPr>
      <w:tab/>
    </w:r>
    <w:r w:rsidR="003C64EC">
      <w:rPr>
        <w:rFonts w:ascii="Arial" w:hAnsi="Arial"/>
      </w:rPr>
      <w:tab/>
      <w:t xml:space="preserve">    </w:t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5877A5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A22498">
      <w:rPr>
        <w:rFonts w:ascii="Arial" w:hAnsi="Arial"/>
        <w:snapToGrid w:val="0"/>
      </w:rPr>
      <w:t>5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78357E" w:rsidRDefault="0078357E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78357E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78357E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78357E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78357E" w:rsidRPr="0078357E" w:rsidRDefault="0078357E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78357E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78357E" w:rsidRDefault="0078357E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184D"/>
    <w:multiLevelType w:val="hybridMultilevel"/>
    <w:tmpl w:val="00868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54ACB"/>
    <w:multiLevelType w:val="hybridMultilevel"/>
    <w:tmpl w:val="04162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8F1F77"/>
    <w:multiLevelType w:val="hybridMultilevel"/>
    <w:tmpl w:val="AEA69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21DDF"/>
    <w:multiLevelType w:val="hybridMultilevel"/>
    <w:tmpl w:val="612A2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F67E3"/>
    <w:multiLevelType w:val="hybridMultilevel"/>
    <w:tmpl w:val="85F45CE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6" w15:restartNumberingAfterBreak="0">
    <w:nsid w:val="3D6C0DB4"/>
    <w:multiLevelType w:val="hybridMultilevel"/>
    <w:tmpl w:val="E1E49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13EA7"/>
    <w:multiLevelType w:val="hybridMultilevel"/>
    <w:tmpl w:val="84BA3C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4" w15:restartNumberingAfterBreak="0">
    <w:nsid w:val="70DB5F30"/>
    <w:multiLevelType w:val="hybridMultilevel"/>
    <w:tmpl w:val="E9609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0488D"/>
    <w:multiLevelType w:val="hybridMultilevel"/>
    <w:tmpl w:val="25AA6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1"/>
  </w:num>
  <w:num w:numId="5">
    <w:abstractNumId w:val="23"/>
  </w:num>
  <w:num w:numId="6">
    <w:abstractNumId w:val="20"/>
  </w:num>
  <w:num w:numId="7">
    <w:abstractNumId w:val="2"/>
  </w:num>
  <w:num w:numId="8">
    <w:abstractNumId w:val="25"/>
  </w:num>
  <w:num w:numId="9">
    <w:abstractNumId w:val="12"/>
  </w:num>
  <w:num w:numId="10">
    <w:abstractNumId w:val="3"/>
  </w:num>
  <w:num w:numId="11">
    <w:abstractNumId w:val="19"/>
  </w:num>
  <w:num w:numId="12">
    <w:abstractNumId w:val="0"/>
  </w:num>
  <w:num w:numId="13">
    <w:abstractNumId w:val="21"/>
  </w:num>
  <w:num w:numId="14">
    <w:abstractNumId w:val="6"/>
  </w:num>
  <w:num w:numId="15">
    <w:abstractNumId w:val="5"/>
  </w:num>
  <w:num w:numId="16">
    <w:abstractNumId w:val="18"/>
  </w:num>
  <w:num w:numId="17">
    <w:abstractNumId w:val="13"/>
  </w:num>
  <w:num w:numId="18">
    <w:abstractNumId w:val="16"/>
  </w:num>
  <w:num w:numId="19">
    <w:abstractNumId w:val="10"/>
  </w:num>
  <w:num w:numId="20">
    <w:abstractNumId w:val="11"/>
  </w:num>
  <w:num w:numId="21">
    <w:abstractNumId w:val="8"/>
  </w:num>
  <w:num w:numId="22">
    <w:abstractNumId w:val="26"/>
  </w:num>
  <w:num w:numId="23">
    <w:abstractNumId w:val="4"/>
  </w:num>
  <w:num w:numId="24">
    <w:abstractNumId w:val="14"/>
  </w:num>
  <w:num w:numId="25">
    <w:abstractNumId w:val="24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6477"/>
    <w:rsid w:val="0001790C"/>
    <w:rsid w:val="00046CF9"/>
    <w:rsid w:val="00064E02"/>
    <w:rsid w:val="0008187C"/>
    <w:rsid w:val="00083DCA"/>
    <w:rsid w:val="000912DA"/>
    <w:rsid w:val="000A066D"/>
    <w:rsid w:val="000B0AD5"/>
    <w:rsid w:val="000B11E1"/>
    <w:rsid w:val="000B2CF6"/>
    <w:rsid w:val="000B35B6"/>
    <w:rsid w:val="000B5207"/>
    <w:rsid w:val="000D6390"/>
    <w:rsid w:val="000D70AE"/>
    <w:rsid w:val="001127EB"/>
    <w:rsid w:val="00114B47"/>
    <w:rsid w:val="0012055A"/>
    <w:rsid w:val="00121210"/>
    <w:rsid w:val="00127F74"/>
    <w:rsid w:val="00132A9C"/>
    <w:rsid w:val="00171346"/>
    <w:rsid w:val="00172F24"/>
    <w:rsid w:val="001A5810"/>
    <w:rsid w:val="001C302E"/>
    <w:rsid w:val="001D283A"/>
    <w:rsid w:val="001D6B83"/>
    <w:rsid w:val="001F7730"/>
    <w:rsid w:val="00221BDC"/>
    <w:rsid w:val="002243BE"/>
    <w:rsid w:val="00225E18"/>
    <w:rsid w:val="00252D10"/>
    <w:rsid w:val="00281751"/>
    <w:rsid w:val="002C6E87"/>
    <w:rsid w:val="002D4B4A"/>
    <w:rsid w:val="003157E3"/>
    <w:rsid w:val="0034776C"/>
    <w:rsid w:val="003529F9"/>
    <w:rsid w:val="00353966"/>
    <w:rsid w:val="00356E3D"/>
    <w:rsid w:val="00373CB9"/>
    <w:rsid w:val="003B012E"/>
    <w:rsid w:val="003B4D5D"/>
    <w:rsid w:val="003C64EC"/>
    <w:rsid w:val="003E382A"/>
    <w:rsid w:val="0041262E"/>
    <w:rsid w:val="00413B4C"/>
    <w:rsid w:val="004255AC"/>
    <w:rsid w:val="004609C6"/>
    <w:rsid w:val="0049437B"/>
    <w:rsid w:val="004A2411"/>
    <w:rsid w:val="004B4CCA"/>
    <w:rsid w:val="004C3C7A"/>
    <w:rsid w:val="004D7E55"/>
    <w:rsid w:val="005117FD"/>
    <w:rsid w:val="005129C9"/>
    <w:rsid w:val="005237B6"/>
    <w:rsid w:val="00531AFD"/>
    <w:rsid w:val="005877A5"/>
    <w:rsid w:val="00587FFA"/>
    <w:rsid w:val="005C1C69"/>
    <w:rsid w:val="005C2DFC"/>
    <w:rsid w:val="0061274F"/>
    <w:rsid w:val="00623837"/>
    <w:rsid w:val="00623AD3"/>
    <w:rsid w:val="0065303F"/>
    <w:rsid w:val="0065785B"/>
    <w:rsid w:val="00666F50"/>
    <w:rsid w:val="00680AB8"/>
    <w:rsid w:val="006A5D52"/>
    <w:rsid w:val="006C4474"/>
    <w:rsid w:val="006C7522"/>
    <w:rsid w:val="006D0F53"/>
    <w:rsid w:val="006D7938"/>
    <w:rsid w:val="006E3991"/>
    <w:rsid w:val="00726BBF"/>
    <w:rsid w:val="00727098"/>
    <w:rsid w:val="0078357E"/>
    <w:rsid w:val="00810B48"/>
    <w:rsid w:val="00825A5F"/>
    <w:rsid w:val="00835AC0"/>
    <w:rsid w:val="00843498"/>
    <w:rsid w:val="0087120A"/>
    <w:rsid w:val="00880913"/>
    <w:rsid w:val="00882612"/>
    <w:rsid w:val="00891EF2"/>
    <w:rsid w:val="008D3A03"/>
    <w:rsid w:val="009075FF"/>
    <w:rsid w:val="0092209D"/>
    <w:rsid w:val="00936F2D"/>
    <w:rsid w:val="0095056C"/>
    <w:rsid w:val="00954F97"/>
    <w:rsid w:val="0095504A"/>
    <w:rsid w:val="00976FF1"/>
    <w:rsid w:val="009A0181"/>
    <w:rsid w:val="009A33F4"/>
    <w:rsid w:val="009E426D"/>
    <w:rsid w:val="00A22498"/>
    <w:rsid w:val="00A85282"/>
    <w:rsid w:val="00AB5E00"/>
    <w:rsid w:val="00AE5735"/>
    <w:rsid w:val="00AF0900"/>
    <w:rsid w:val="00B05EE5"/>
    <w:rsid w:val="00B50FBA"/>
    <w:rsid w:val="00B53B64"/>
    <w:rsid w:val="00B94305"/>
    <w:rsid w:val="00BA5FFB"/>
    <w:rsid w:val="00BE5082"/>
    <w:rsid w:val="00C00107"/>
    <w:rsid w:val="00C03840"/>
    <w:rsid w:val="00C152CE"/>
    <w:rsid w:val="00C1685C"/>
    <w:rsid w:val="00C45745"/>
    <w:rsid w:val="00C46F91"/>
    <w:rsid w:val="00C534C4"/>
    <w:rsid w:val="00C55166"/>
    <w:rsid w:val="00C74CEA"/>
    <w:rsid w:val="00C850EA"/>
    <w:rsid w:val="00C9305A"/>
    <w:rsid w:val="00CD415F"/>
    <w:rsid w:val="00CE440D"/>
    <w:rsid w:val="00CF3A40"/>
    <w:rsid w:val="00D34F76"/>
    <w:rsid w:val="00D852A3"/>
    <w:rsid w:val="00D87661"/>
    <w:rsid w:val="00D94572"/>
    <w:rsid w:val="00D97E8F"/>
    <w:rsid w:val="00DB24DC"/>
    <w:rsid w:val="00DD16ED"/>
    <w:rsid w:val="00DD3B3F"/>
    <w:rsid w:val="00E7024A"/>
    <w:rsid w:val="00EB1549"/>
    <w:rsid w:val="00ED4699"/>
    <w:rsid w:val="00EE4E85"/>
    <w:rsid w:val="00F14462"/>
    <w:rsid w:val="00F23D60"/>
    <w:rsid w:val="00F34A73"/>
    <w:rsid w:val="00F47F21"/>
    <w:rsid w:val="00F528A0"/>
    <w:rsid w:val="00F61EDE"/>
    <w:rsid w:val="00F657D8"/>
    <w:rsid w:val="00F72C47"/>
    <w:rsid w:val="00F82DA7"/>
    <w:rsid w:val="00FB4987"/>
    <w:rsid w:val="00FD0075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5D5A87E"/>
  <w15:chartTrackingRefBased/>
  <w15:docId w15:val="{874FF1AF-FEEC-4DC6-9401-15BDC32C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F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F74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2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3248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2020-05-18T19:09:00Z</cp:lastPrinted>
  <dcterms:created xsi:type="dcterms:W3CDTF">2020-05-18T19:09:00Z</dcterms:created>
  <dcterms:modified xsi:type="dcterms:W3CDTF">2020-05-18T19:09:00Z</dcterms:modified>
</cp:coreProperties>
</file>