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22D81" w14:textId="77777777" w:rsidR="00865861" w:rsidRDefault="00865861">
      <w:pPr>
        <w:pStyle w:val="Textoindependiente"/>
        <w:spacing w:before="2"/>
        <w:rPr>
          <w:rFonts w:ascii="Times New Roman"/>
          <w:sz w:val="26"/>
        </w:rPr>
      </w:pPr>
    </w:p>
    <w:p w14:paraId="741CF93C" w14:textId="2A4181C0" w:rsidR="00637F1A" w:rsidRDefault="000E6007" w:rsidP="00097B4F">
      <w:pPr>
        <w:pStyle w:val="Ttulo"/>
        <w:rPr>
          <w:rFonts w:cs="Arial"/>
          <w:color w:val="3164CC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9578363" wp14:editId="57940788">
                <wp:simplePos x="0" y="0"/>
                <wp:positionH relativeFrom="page">
                  <wp:posOffset>1063625</wp:posOffset>
                </wp:positionH>
                <wp:positionV relativeFrom="paragraph">
                  <wp:posOffset>1000760</wp:posOffset>
                </wp:positionV>
                <wp:extent cx="56508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0865" cy="1270"/>
                        </a:xfrm>
                        <a:custGeom>
                          <a:avLst/>
                          <a:gdLst>
                            <a:gd name="T0" fmla="+- 0 1675 1675"/>
                            <a:gd name="T1" fmla="*/ T0 w 8899"/>
                            <a:gd name="T2" fmla="+- 0 10573 1675"/>
                            <a:gd name="T3" fmla="*/ T2 w 8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99">
                              <a:moveTo>
                                <a:pt x="0" y="0"/>
                              </a:moveTo>
                              <a:lnTo>
                                <a:pt x="889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4F80BB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6706A" id="Freeform 2" o:spid="_x0000_s1026" style="position:absolute;margin-left:83.75pt;margin-top:78.8pt;width:444.9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" path="m,l8898,e" filled="f" strokecolor="#4f80bb" strokeweight=".96pt">
                <v:path arrowok="t" o:connecttype="custom" o:connectlocs="0,0;5650230,0" o:connectangles="0,0"/>
                <w10:wrap type="topAndBottom" anchorx="page"/>
              </v:shape>
            </w:pict>
          </mc:Fallback>
        </mc:AlternateContent>
      </w:r>
      <w:r w:rsidR="00D44CA0" w:rsidRPr="00637F1A">
        <w:rPr>
          <w:rFonts w:cs="Arial"/>
          <w:color w:val="3164CC"/>
        </w:rPr>
        <w:t>Comunicado</w:t>
      </w:r>
      <w:r w:rsidR="00637F1A" w:rsidRPr="00637F1A">
        <w:rPr>
          <w:rFonts w:cs="Arial"/>
          <w:color w:val="3164CC"/>
        </w:rPr>
        <w:t xml:space="preserve"> </w:t>
      </w:r>
      <w:r w:rsidR="00D44CA0" w:rsidRPr="00637F1A">
        <w:rPr>
          <w:rFonts w:cs="Arial"/>
          <w:color w:val="3164CC"/>
        </w:rPr>
        <w:t>a</w:t>
      </w:r>
      <w:r w:rsidR="00637F1A" w:rsidRPr="00637F1A">
        <w:rPr>
          <w:rFonts w:cs="Arial"/>
          <w:color w:val="3164CC"/>
        </w:rPr>
        <w:t xml:space="preserve"> </w:t>
      </w:r>
      <w:r w:rsidR="00D44CA0" w:rsidRPr="00637F1A">
        <w:rPr>
          <w:rFonts w:cs="Arial"/>
          <w:color w:val="3164CC"/>
        </w:rPr>
        <w:t>las</w:t>
      </w:r>
      <w:r w:rsidR="00637F1A" w:rsidRPr="00637F1A">
        <w:rPr>
          <w:rFonts w:cs="Arial"/>
          <w:color w:val="3164CC"/>
        </w:rPr>
        <w:t xml:space="preserve"> </w:t>
      </w:r>
      <w:r w:rsidR="00D44CA0" w:rsidRPr="00637F1A">
        <w:rPr>
          <w:rFonts w:cs="Arial"/>
          <w:color w:val="3164CC"/>
        </w:rPr>
        <w:t>partes</w:t>
      </w:r>
      <w:r w:rsidR="00637F1A" w:rsidRPr="00637F1A">
        <w:rPr>
          <w:rFonts w:cs="Arial"/>
          <w:color w:val="3164CC"/>
        </w:rPr>
        <w:t xml:space="preserve"> </w:t>
      </w:r>
      <w:r w:rsidR="00D44CA0" w:rsidRPr="00637F1A">
        <w:rPr>
          <w:rFonts w:cs="Arial"/>
          <w:color w:val="3164CC"/>
        </w:rPr>
        <w:t>interesadas</w:t>
      </w:r>
      <w:r>
        <w:rPr>
          <w:rFonts w:cs="Arial"/>
          <w:color w:val="3164CC"/>
        </w:rPr>
        <w:t xml:space="preserve"> </w:t>
      </w:r>
      <w:r w:rsidR="00D44CA0" w:rsidRPr="00637F1A">
        <w:rPr>
          <w:rFonts w:cs="Arial"/>
          <w:color w:val="3164CC"/>
        </w:rPr>
        <w:t>sobre</w:t>
      </w:r>
      <w:r>
        <w:rPr>
          <w:rFonts w:cs="Arial"/>
          <w:color w:val="3164CC"/>
        </w:rPr>
        <w:t xml:space="preserve"> </w:t>
      </w:r>
      <w:r w:rsidR="00D44CA0" w:rsidRPr="00637F1A">
        <w:rPr>
          <w:rFonts w:cs="Arial"/>
          <w:color w:val="3164CC"/>
        </w:rPr>
        <w:t>los</w:t>
      </w:r>
      <w:r>
        <w:rPr>
          <w:rFonts w:cs="Arial"/>
          <w:color w:val="3164CC"/>
        </w:rPr>
        <w:t xml:space="preserve"> </w:t>
      </w:r>
      <w:r w:rsidR="00D44CA0" w:rsidRPr="00637F1A">
        <w:rPr>
          <w:rFonts w:cs="Arial"/>
          <w:color w:val="3164CC"/>
        </w:rPr>
        <w:t>ajustes</w:t>
      </w:r>
      <w:r>
        <w:rPr>
          <w:rFonts w:cs="Arial"/>
          <w:color w:val="3164CC"/>
        </w:rPr>
        <w:t xml:space="preserve"> </w:t>
      </w:r>
      <w:r w:rsidR="00D44CA0" w:rsidRPr="00637F1A">
        <w:rPr>
          <w:rFonts w:cs="Arial"/>
          <w:color w:val="3164CC"/>
        </w:rPr>
        <w:t>realizados</w:t>
      </w:r>
      <w:r>
        <w:rPr>
          <w:rFonts w:cs="Arial"/>
          <w:color w:val="3164CC"/>
        </w:rPr>
        <w:t xml:space="preserve"> </w:t>
      </w:r>
      <w:r w:rsidR="00D44CA0" w:rsidRPr="00637F1A">
        <w:rPr>
          <w:rFonts w:cs="Arial"/>
          <w:color w:val="3164CC"/>
        </w:rPr>
        <w:t>a</w:t>
      </w:r>
      <w:r w:rsidR="00637F1A" w:rsidRPr="00637F1A">
        <w:rPr>
          <w:rFonts w:cs="Arial"/>
          <w:color w:val="3164CC"/>
        </w:rPr>
        <w:t xml:space="preserve"> </w:t>
      </w:r>
      <w:r w:rsidR="00D44CA0" w:rsidRPr="00637F1A">
        <w:rPr>
          <w:rFonts w:cs="Arial"/>
          <w:color w:val="3164CC"/>
        </w:rPr>
        <w:t>la</w:t>
      </w:r>
      <w:r w:rsidR="00637F1A" w:rsidRPr="00637F1A">
        <w:rPr>
          <w:rFonts w:cs="Arial"/>
          <w:color w:val="3164CC"/>
        </w:rPr>
        <w:t xml:space="preserve"> </w:t>
      </w:r>
      <w:r w:rsidR="00D44CA0" w:rsidRPr="00637F1A">
        <w:rPr>
          <w:rFonts w:cs="Arial"/>
          <w:color w:val="3164CC"/>
        </w:rPr>
        <w:t>V1</w:t>
      </w:r>
      <w:r>
        <w:rPr>
          <w:rFonts w:cs="Arial"/>
          <w:color w:val="3164CC"/>
        </w:rPr>
        <w:t xml:space="preserve"> </w:t>
      </w:r>
      <w:r w:rsidR="00D44CA0" w:rsidRPr="00637F1A">
        <w:rPr>
          <w:rFonts w:cs="Arial"/>
          <w:color w:val="3164CC"/>
        </w:rPr>
        <w:t>del</w:t>
      </w:r>
      <w:r w:rsidR="00637F1A" w:rsidRPr="00637F1A">
        <w:rPr>
          <w:rFonts w:cs="Arial"/>
          <w:color w:val="3164CC"/>
        </w:rPr>
        <w:t xml:space="preserve"> </w:t>
      </w:r>
      <w:r w:rsidR="00A70915">
        <w:rPr>
          <w:rFonts w:cs="Arial"/>
          <w:color w:val="3164CC"/>
        </w:rPr>
        <w:t xml:space="preserve">Programa de Transparencia </w:t>
      </w:r>
      <w:r w:rsidR="00736AA5">
        <w:rPr>
          <w:rFonts w:cs="Arial"/>
          <w:color w:val="3164CC"/>
        </w:rPr>
        <w:t>y</w:t>
      </w:r>
      <w:r w:rsidR="00E570BE">
        <w:rPr>
          <w:rFonts w:cs="Arial"/>
          <w:color w:val="3164CC"/>
        </w:rPr>
        <w:t xml:space="preserve"> Ética del Sector Público</w:t>
      </w:r>
      <w:r w:rsidR="00134108" w:rsidRPr="00637F1A">
        <w:rPr>
          <w:rFonts w:cs="Arial"/>
          <w:color w:val="3164CC"/>
        </w:rPr>
        <w:t xml:space="preserve">  </w:t>
      </w:r>
      <w:r w:rsidR="00D44CA0" w:rsidRPr="00637F1A">
        <w:rPr>
          <w:rFonts w:cs="Arial"/>
          <w:color w:val="3164CC"/>
        </w:rPr>
        <w:t>de</w:t>
      </w:r>
      <w:r w:rsidR="00134108" w:rsidRPr="00637F1A">
        <w:rPr>
          <w:rFonts w:cs="Arial"/>
          <w:color w:val="3164CC"/>
        </w:rPr>
        <w:t xml:space="preserve"> </w:t>
      </w:r>
      <w:r w:rsidR="00D44CA0" w:rsidRPr="00637F1A">
        <w:rPr>
          <w:rFonts w:cs="Arial"/>
          <w:color w:val="3164CC"/>
        </w:rPr>
        <w:t>la</w:t>
      </w:r>
      <w:r w:rsidR="00134108" w:rsidRPr="00637F1A">
        <w:rPr>
          <w:rFonts w:cs="Arial"/>
          <w:color w:val="3164CC"/>
        </w:rPr>
        <w:t xml:space="preserve"> </w:t>
      </w:r>
      <w:r w:rsidR="00D44CA0" w:rsidRPr="00637F1A">
        <w:rPr>
          <w:rFonts w:cs="Arial"/>
          <w:color w:val="3164CC"/>
        </w:rPr>
        <w:t>UNP</w:t>
      </w:r>
    </w:p>
    <w:p w14:paraId="6C7F6171" w14:textId="77777777" w:rsidR="00097B4F" w:rsidRPr="00097B4F" w:rsidRDefault="00097B4F" w:rsidP="00097B4F">
      <w:pPr>
        <w:pStyle w:val="Ttulo"/>
        <w:rPr>
          <w:rFonts w:cs="Arial"/>
          <w:color w:val="3164CC"/>
        </w:rPr>
      </w:pPr>
    </w:p>
    <w:p w14:paraId="073ADD71" w14:textId="1C0A8048" w:rsidR="000E6007" w:rsidRDefault="000E6007" w:rsidP="005B6CC5">
      <w:pPr>
        <w:jc w:val="both"/>
        <w:rPr>
          <w:sz w:val="24"/>
          <w:szCs w:val="24"/>
        </w:rPr>
      </w:pPr>
      <w:r w:rsidRPr="00751D16">
        <w:rPr>
          <w:color w:val="0D0D0D" w:themeColor="text1" w:themeTint="F2"/>
          <w:sz w:val="24"/>
          <w:szCs w:val="24"/>
        </w:rPr>
        <w:t>Dando cumplimiento a los lineamientos establecidos en</w:t>
      </w:r>
      <w:r w:rsidR="00736AA5" w:rsidRPr="00751D16">
        <w:rPr>
          <w:color w:val="0D0D0D" w:themeColor="text1" w:themeTint="F2"/>
          <w:sz w:val="24"/>
          <w:szCs w:val="24"/>
        </w:rPr>
        <w:t xml:space="preserve"> </w:t>
      </w:r>
      <w:r w:rsidR="00270DCE">
        <w:rPr>
          <w:color w:val="0D0D0D" w:themeColor="text1" w:themeTint="F2"/>
          <w:sz w:val="24"/>
          <w:szCs w:val="24"/>
        </w:rPr>
        <w:t xml:space="preserve">el artículo </w:t>
      </w:r>
      <w:r w:rsidR="009D005E">
        <w:rPr>
          <w:color w:val="0D0D0D" w:themeColor="text1" w:themeTint="F2"/>
          <w:sz w:val="24"/>
          <w:szCs w:val="24"/>
        </w:rPr>
        <w:t xml:space="preserve">73 de </w:t>
      </w:r>
      <w:r w:rsidR="00736AA5" w:rsidRPr="00751D16">
        <w:rPr>
          <w:color w:val="0D0D0D" w:themeColor="text1" w:themeTint="F2"/>
          <w:sz w:val="24"/>
          <w:szCs w:val="24"/>
        </w:rPr>
        <w:t>la</w:t>
      </w:r>
      <w:r w:rsidR="00D946BE" w:rsidRPr="00751D16">
        <w:rPr>
          <w:color w:val="0D0D0D" w:themeColor="text1" w:themeTint="F2"/>
          <w:sz w:val="24"/>
          <w:szCs w:val="24"/>
        </w:rPr>
        <w:t xml:space="preserve"> Ley 1474</w:t>
      </w:r>
      <w:r w:rsidR="00A300DE" w:rsidRPr="00751D16">
        <w:rPr>
          <w:color w:val="0D0D0D" w:themeColor="text1" w:themeTint="F2"/>
          <w:sz w:val="24"/>
          <w:szCs w:val="24"/>
        </w:rPr>
        <w:t xml:space="preserve"> de</w:t>
      </w:r>
      <w:r w:rsidR="008220AD" w:rsidRPr="00751D16">
        <w:rPr>
          <w:color w:val="0D0D0D" w:themeColor="text1" w:themeTint="F2"/>
          <w:sz w:val="24"/>
          <w:szCs w:val="24"/>
        </w:rPr>
        <w:t xml:space="preserve">l </w:t>
      </w:r>
      <w:r w:rsidR="00A300DE" w:rsidRPr="00751D16">
        <w:rPr>
          <w:color w:val="0D0D0D" w:themeColor="text1" w:themeTint="F2"/>
          <w:sz w:val="24"/>
          <w:szCs w:val="24"/>
        </w:rPr>
        <w:t xml:space="preserve"> 2011 </w:t>
      </w:r>
      <w:r w:rsidR="009D005E">
        <w:rPr>
          <w:color w:val="0D0D0D" w:themeColor="text1" w:themeTint="F2"/>
          <w:sz w:val="24"/>
          <w:szCs w:val="24"/>
        </w:rPr>
        <w:t>modificado por el Articulo 31</w:t>
      </w:r>
      <w:r w:rsidR="00006CA2">
        <w:rPr>
          <w:color w:val="0D0D0D" w:themeColor="text1" w:themeTint="F2"/>
          <w:sz w:val="24"/>
          <w:szCs w:val="24"/>
        </w:rPr>
        <w:t xml:space="preserve"> de la</w:t>
      </w:r>
      <w:r w:rsidR="00081A16" w:rsidRPr="00751D16">
        <w:rPr>
          <w:color w:val="0D0D0D" w:themeColor="text1" w:themeTint="F2"/>
          <w:sz w:val="24"/>
          <w:szCs w:val="24"/>
        </w:rPr>
        <w:t xml:space="preserve"> Ley 2995 de</w:t>
      </w:r>
      <w:r w:rsidR="00006CA2">
        <w:rPr>
          <w:color w:val="0D0D0D" w:themeColor="text1" w:themeTint="F2"/>
          <w:sz w:val="24"/>
          <w:szCs w:val="24"/>
        </w:rPr>
        <w:t>l</w:t>
      </w:r>
      <w:r w:rsidR="00081A16" w:rsidRPr="00751D16">
        <w:rPr>
          <w:color w:val="0D0D0D" w:themeColor="text1" w:themeTint="F2"/>
          <w:sz w:val="24"/>
          <w:szCs w:val="24"/>
        </w:rPr>
        <w:t xml:space="preserve"> 2022</w:t>
      </w:r>
      <w:r w:rsidR="007D0024" w:rsidRPr="00751D16">
        <w:rPr>
          <w:color w:val="0D0D0D" w:themeColor="text1" w:themeTint="F2"/>
          <w:sz w:val="24"/>
          <w:szCs w:val="24"/>
        </w:rPr>
        <w:t xml:space="preserve"> “</w:t>
      </w:r>
      <w:r w:rsidR="007D0024" w:rsidRPr="00751D16">
        <w:rPr>
          <w:rFonts w:cs="Arial"/>
          <w:i/>
          <w:iCs/>
          <w:color w:val="1D1B11" w:themeColor="background2" w:themeShade="1A"/>
          <w:sz w:val="24"/>
          <w:szCs w:val="24"/>
        </w:rPr>
        <w:t>Por medio de la cual se adoptan medidas en materia de transparencia, prevención y lucha contra la corrupción y se dictan otras disposiciones</w:t>
      </w:r>
      <w:r w:rsidR="007D0024" w:rsidRPr="00751D16">
        <w:rPr>
          <w:rFonts w:cs="Arial"/>
          <w:color w:val="1D1B11" w:themeColor="background2" w:themeShade="1A"/>
          <w:sz w:val="24"/>
          <w:szCs w:val="24"/>
        </w:rPr>
        <w:t>”</w:t>
      </w:r>
      <w:r w:rsidR="003E360B" w:rsidRPr="00751D16">
        <w:rPr>
          <w:sz w:val="24"/>
          <w:szCs w:val="24"/>
        </w:rPr>
        <w:t>,</w:t>
      </w:r>
      <w:r w:rsidR="00971479" w:rsidRPr="00751D16">
        <w:rPr>
          <w:sz w:val="24"/>
          <w:szCs w:val="24"/>
        </w:rPr>
        <w:t>se</w:t>
      </w:r>
      <w:r w:rsidR="009C0B2B">
        <w:rPr>
          <w:sz w:val="24"/>
          <w:szCs w:val="24"/>
        </w:rPr>
        <w:t xml:space="preserve"> </w:t>
      </w:r>
      <w:r w:rsidR="007613CA" w:rsidRPr="00751D16">
        <w:rPr>
          <w:sz w:val="24"/>
          <w:szCs w:val="24"/>
        </w:rPr>
        <w:t>realizó</w:t>
      </w:r>
      <w:r w:rsidR="00581077" w:rsidRPr="00751D16">
        <w:rPr>
          <w:sz w:val="24"/>
          <w:szCs w:val="24"/>
        </w:rPr>
        <w:t xml:space="preserve"> </w:t>
      </w:r>
      <w:r w:rsidR="00740988" w:rsidRPr="00751D16">
        <w:rPr>
          <w:sz w:val="24"/>
          <w:szCs w:val="24"/>
        </w:rPr>
        <w:t>modificac</w:t>
      </w:r>
      <w:r w:rsidR="007613CA" w:rsidRPr="00751D16">
        <w:rPr>
          <w:sz w:val="24"/>
          <w:szCs w:val="24"/>
        </w:rPr>
        <w:t>io</w:t>
      </w:r>
      <w:r w:rsidR="00740988" w:rsidRPr="00751D16">
        <w:rPr>
          <w:sz w:val="24"/>
          <w:szCs w:val="24"/>
        </w:rPr>
        <w:t>nes</w:t>
      </w:r>
      <w:r w:rsidR="0012080E" w:rsidRPr="00751D16">
        <w:rPr>
          <w:sz w:val="24"/>
          <w:szCs w:val="24"/>
        </w:rPr>
        <w:t xml:space="preserve"> orientadas a</w:t>
      </w:r>
      <w:r w:rsidR="00F866D3" w:rsidRPr="00751D16">
        <w:rPr>
          <w:sz w:val="24"/>
          <w:szCs w:val="24"/>
        </w:rPr>
        <w:t xml:space="preserve"> </w:t>
      </w:r>
      <w:r w:rsidR="0012080E" w:rsidRPr="00751D16">
        <w:rPr>
          <w:sz w:val="24"/>
          <w:szCs w:val="24"/>
        </w:rPr>
        <w:t>mejorar</w:t>
      </w:r>
      <w:r w:rsidR="008F1D07" w:rsidRPr="00751D16">
        <w:rPr>
          <w:sz w:val="24"/>
          <w:szCs w:val="24"/>
        </w:rPr>
        <w:t xml:space="preserve"> </w:t>
      </w:r>
      <w:r w:rsidR="0012080E" w:rsidRPr="00751D16">
        <w:rPr>
          <w:sz w:val="24"/>
          <w:szCs w:val="24"/>
        </w:rPr>
        <w:t>el</w:t>
      </w:r>
      <w:r w:rsidR="000402C3" w:rsidRPr="00751D16">
        <w:rPr>
          <w:sz w:val="24"/>
          <w:szCs w:val="24"/>
        </w:rPr>
        <w:t xml:space="preserve"> presente</w:t>
      </w:r>
      <w:r w:rsidR="003E360B" w:rsidRPr="00751D16">
        <w:rPr>
          <w:sz w:val="24"/>
          <w:szCs w:val="24"/>
        </w:rPr>
        <w:t xml:space="preserve"> P</w:t>
      </w:r>
      <w:r w:rsidR="003E360B" w:rsidRPr="00751D16">
        <w:rPr>
          <w:sz w:val="24"/>
          <w:szCs w:val="24"/>
        </w:rPr>
        <w:t>rograma</w:t>
      </w:r>
      <w:r w:rsidR="00C568B2" w:rsidRPr="00751D16">
        <w:rPr>
          <w:sz w:val="24"/>
          <w:szCs w:val="24"/>
        </w:rPr>
        <w:t xml:space="preserve"> </w:t>
      </w:r>
      <w:r w:rsidR="00565685">
        <w:rPr>
          <w:color w:val="0D0D0D" w:themeColor="text1" w:themeTint="F2"/>
          <w:sz w:val="24"/>
          <w:szCs w:val="24"/>
        </w:rPr>
        <w:t>por</w:t>
      </w:r>
      <w:r w:rsidR="00C568B2" w:rsidRPr="00751D16">
        <w:rPr>
          <w:color w:val="0D0D0D" w:themeColor="text1" w:themeTint="F2"/>
          <w:sz w:val="24"/>
          <w:szCs w:val="24"/>
        </w:rPr>
        <w:t xml:space="preserve"> solicitud de los diferentes</w:t>
      </w:r>
      <w:r w:rsidR="007D5F92">
        <w:rPr>
          <w:color w:val="0D0D0D" w:themeColor="text1" w:themeTint="F2"/>
          <w:sz w:val="24"/>
          <w:szCs w:val="24"/>
        </w:rPr>
        <w:t xml:space="preserve"> </w:t>
      </w:r>
      <w:r w:rsidR="00C568B2" w:rsidRPr="00751D16">
        <w:rPr>
          <w:color w:val="0D0D0D" w:themeColor="text1" w:themeTint="F2"/>
          <w:sz w:val="24"/>
          <w:szCs w:val="24"/>
        </w:rPr>
        <w:t>procesos, encaminad</w:t>
      </w:r>
      <w:r w:rsidR="00577451">
        <w:rPr>
          <w:color w:val="0D0D0D" w:themeColor="text1" w:themeTint="F2"/>
          <w:sz w:val="24"/>
          <w:szCs w:val="24"/>
        </w:rPr>
        <w:t>o</w:t>
      </w:r>
      <w:r w:rsidR="00C568B2" w:rsidRPr="00751D16">
        <w:rPr>
          <w:color w:val="0D0D0D" w:themeColor="text1" w:themeTint="F2"/>
          <w:sz w:val="24"/>
          <w:szCs w:val="24"/>
        </w:rPr>
        <w:t xml:space="preserve"> al fortalecimiento de esta</w:t>
      </w:r>
      <w:r w:rsidR="00D93D47" w:rsidRPr="00751D16">
        <w:rPr>
          <w:color w:val="0D0D0D" w:themeColor="text1" w:themeTint="F2"/>
          <w:sz w:val="24"/>
          <w:szCs w:val="24"/>
        </w:rPr>
        <w:t xml:space="preserve"> </w:t>
      </w:r>
      <w:r w:rsidR="00C568B2" w:rsidRPr="00751D16">
        <w:rPr>
          <w:color w:val="0D0D0D" w:themeColor="text1" w:themeTint="F2"/>
          <w:sz w:val="24"/>
          <w:szCs w:val="24"/>
        </w:rPr>
        <w:t>estrategia</w:t>
      </w:r>
      <w:r w:rsidRPr="00751D16">
        <w:rPr>
          <w:color w:val="0D0D0D" w:themeColor="text1" w:themeTint="F2"/>
          <w:sz w:val="24"/>
          <w:szCs w:val="24"/>
        </w:rPr>
        <w:t>;</w:t>
      </w:r>
      <w:r w:rsidR="0098522D" w:rsidRPr="00751D16">
        <w:rPr>
          <w:color w:val="0D0D0D" w:themeColor="text1" w:themeTint="F2"/>
          <w:sz w:val="24"/>
          <w:szCs w:val="24"/>
        </w:rPr>
        <w:t xml:space="preserve"> </w:t>
      </w:r>
      <w:r w:rsidRPr="00751D16">
        <w:rPr>
          <w:color w:val="0D0D0D" w:themeColor="text1" w:themeTint="F2"/>
          <w:sz w:val="24"/>
          <w:szCs w:val="24"/>
        </w:rPr>
        <w:t>nos permitimos informar a las partes interesadas los cambios efectuados a la V1</w:t>
      </w:r>
      <w:r w:rsidR="00384256" w:rsidRPr="00751D16">
        <w:rPr>
          <w:color w:val="0D0D0D" w:themeColor="text1" w:themeTint="F2"/>
          <w:sz w:val="24"/>
          <w:szCs w:val="24"/>
        </w:rPr>
        <w:t xml:space="preserve"> </w:t>
      </w:r>
      <w:r w:rsidRPr="00751D16">
        <w:rPr>
          <w:color w:val="0D0D0D" w:themeColor="text1" w:themeTint="F2"/>
          <w:sz w:val="24"/>
          <w:szCs w:val="24"/>
        </w:rPr>
        <w:t xml:space="preserve">del </w:t>
      </w:r>
      <w:r w:rsidR="0097433D" w:rsidRPr="00751D16">
        <w:rPr>
          <w:sz w:val="24"/>
          <w:szCs w:val="24"/>
        </w:rPr>
        <w:t>Programa de Transparencia y Ética del Sector Público</w:t>
      </w:r>
      <w:r w:rsidR="00751D16">
        <w:rPr>
          <w:sz w:val="24"/>
          <w:szCs w:val="24"/>
        </w:rPr>
        <w:t>.</w:t>
      </w:r>
    </w:p>
    <w:p w14:paraId="0B7BA517" w14:textId="77777777" w:rsidR="001C40ED" w:rsidRDefault="001C40ED" w:rsidP="005B6CC5">
      <w:pPr>
        <w:jc w:val="both"/>
        <w:rPr>
          <w:sz w:val="24"/>
          <w:szCs w:val="24"/>
        </w:rPr>
      </w:pPr>
    </w:p>
    <w:p w14:paraId="40CC1441" w14:textId="77777777" w:rsidR="001C40ED" w:rsidRDefault="001C40ED" w:rsidP="005B6CC5">
      <w:pPr>
        <w:jc w:val="both"/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5"/>
        <w:gridCol w:w="6495"/>
      </w:tblGrid>
      <w:tr w:rsidR="001C40ED" w:rsidRPr="008F5AC8" w14:paraId="282D8163" w14:textId="77777777" w:rsidTr="00E8293A">
        <w:trPr>
          <w:trHeight w:val="315"/>
        </w:trPr>
        <w:tc>
          <w:tcPr>
            <w:tcW w:w="1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38DD3"/>
            <w:vAlign w:val="bottom"/>
            <w:hideMark/>
          </w:tcPr>
          <w:p w14:paraId="2DFC084B" w14:textId="77777777" w:rsidR="001C40ED" w:rsidRPr="008F5AC8" w:rsidRDefault="001C40ED" w:rsidP="00E8293A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8F5AC8">
              <w:rPr>
                <w:rFonts w:eastAsia="Times New Roman" w:cs="Calibri"/>
                <w:b/>
                <w:bCs/>
                <w:sz w:val="20"/>
                <w:szCs w:val="20"/>
                <w:lang w:eastAsia="es-CO"/>
              </w:rPr>
              <w:t>Componente</w:t>
            </w:r>
          </w:p>
        </w:tc>
        <w:tc>
          <w:tcPr>
            <w:tcW w:w="3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3"/>
            <w:vAlign w:val="center"/>
            <w:hideMark/>
          </w:tcPr>
          <w:p w14:paraId="38D6EC21" w14:textId="77777777" w:rsidR="001C40ED" w:rsidRPr="008F5AC8" w:rsidRDefault="001C40ED" w:rsidP="00E8293A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8F5AC8">
              <w:rPr>
                <w:rFonts w:eastAsia="Times New Roman" w:cs="Calibri"/>
                <w:b/>
                <w:bCs/>
                <w:sz w:val="20"/>
                <w:szCs w:val="20"/>
                <w:lang w:eastAsia="es-CO"/>
              </w:rPr>
              <w:t>Cambios</w:t>
            </w:r>
          </w:p>
        </w:tc>
      </w:tr>
      <w:tr w:rsidR="001C40ED" w:rsidRPr="008F5AC8" w14:paraId="79479160" w14:textId="77777777" w:rsidTr="001C40ED">
        <w:trPr>
          <w:trHeight w:val="1545"/>
        </w:trPr>
        <w:tc>
          <w:tcPr>
            <w:tcW w:w="1523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4C96CCE" w14:textId="2EF83DC2" w:rsidR="001C40ED" w:rsidRPr="008F5AC8" w:rsidRDefault="001C40ED" w:rsidP="00E8293A">
            <w:pPr>
              <w:widowControl/>
              <w:autoSpaceDE/>
              <w:autoSpaceDN/>
              <w:jc w:val="both"/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sz w:val="20"/>
                <w:szCs w:val="20"/>
              </w:rPr>
              <w:t>3</w:t>
            </w:r>
            <w:r w:rsidRPr="00633193">
              <w:rPr>
                <w:sz w:val="20"/>
                <w:szCs w:val="20"/>
              </w:rPr>
              <w:t>. Rendición de Cuentas</w:t>
            </w:r>
          </w:p>
        </w:tc>
        <w:tc>
          <w:tcPr>
            <w:tcW w:w="3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F64C3" w14:textId="77777777" w:rsidR="001C40ED" w:rsidRDefault="001C40ED" w:rsidP="001C40ED">
            <w:pPr>
              <w:pStyle w:val="TableParagraph"/>
              <w:ind w:right="8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el Subcomponente </w:t>
            </w:r>
            <w:r w:rsidRPr="00561822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561822">
              <w:rPr>
                <w:sz w:val="20"/>
                <w:szCs w:val="20"/>
              </w:rPr>
              <w:t>Diálogo de</w:t>
            </w:r>
            <w:r>
              <w:rPr>
                <w:sz w:val="20"/>
                <w:szCs w:val="20"/>
              </w:rPr>
              <w:t xml:space="preserve"> </w:t>
            </w:r>
            <w:r w:rsidRPr="00561822">
              <w:rPr>
                <w:sz w:val="20"/>
                <w:szCs w:val="20"/>
              </w:rPr>
              <w:t>doble vía con la</w:t>
            </w:r>
            <w:r>
              <w:rPr>
                <w:sz w:val="20"/>
                <w:szCs w:val="20"/>
              </w:rPr>
              <w:t xml:space="preserve"> </w:t>
            </w:r>
            <w:r w:rsidRPr="00561822">
              <w:rPr>
                <w:sz w:val="20"/>
                <w:szCs w:val="20"/>
              </w:rPr>
              <w:t>ciudadanía</w:t>
            </w:r>
            <w:r>
              <w:rPr>
                <w:sz w:val="20"/>
                <w:szCs w:val="20"/>
              </w:rPr>
              <w:t xml:space="preserve"> </w:t>
            </w:r>
            <w:r w:rsidRPr="00561822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</w:t>
            </w:r>
            <w:r w:rsidRPr="00561822">
              <w:rPr>
                <w:sz w:val="20"/>
                <w:szCs w:val="20"/>
              </w:rPr>
              <w:t>sus</w:t>
            </w:r>
            <w:r>
              <w:rPr>
                <w:sz w:val="20"/>
                <w:szCs w:val="20"/>
              </w:rPr>
              <w:t xml:space="preserve"> </w:t>
            </w:r>
            <w:r w:rsidRPr="00561822">
              <w:rPr>
                <w:sz w:val="20"/>
                <w:szCs w:val="20"/>
              </w:rPr>
              <w:t>Organizaciones</w:t>
            </w:r>
            <w:r>
              <w:rPr>
                <w:sz w:val="20"/>
                <w:szCs w:val="20"/>
              </w:rPr>
              <w:t xml:space="preserve"> se modificó la descripción de la actividad por </w:t>
            </w:r>
            <w:r w:rsidRPr="00434A94">
              <w:rPr>
                <w:sz w:val="20"/>
                <w:szCs w:val="20"/>
              </w:rPr>
              <w:t>Participar en las “Juntanzas, Festival para tejer lo público” en las cuales se identifique la necesidad de intervención por parte de la UNP, a fin de sensibilizar acerca de las competencias de la entidad en  marco de la ruta de protección</w:t>
            </w:r>
            <w:r>
              <w:rPr>
                <w:sz w:val="20"/>
                <w:szCs w:val="20"/>
              </w:rPr>
              <w:t>.</w:t>
            </w:r>
          </w:p>
          <w:p w14:paraId="380961A9" w14:textId="77777777" w:rsidR="001C40ED" w:rsidRDefault="001C40ED" w:rsidP="001C40ED">
            <w:pPr>
              <w:pStyle w:val="TableParagraph"/>
              <w:ind w:right="89"/>
              <w:jc w:val="both"/>
              <w:rPr>
                <w:sz w:val="20"/>
                <w:szCs w:val="20"/>
              </w:rPr>
            </w:pPr>
          </w:p>
          <w:p w14:paraId="5AF45B8C" w14:textId="6525B9AE" w:rsidR="001C40ED" w:rsidRDefault="001C40ED" w:rsidP="001C40ED">
            <w:pPr>
              <w:pStyle w:val="TableParagraph"/>
              <w:ind w:right="8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Además se modificó el nombre del indicador por </w:t>
            </w:r>
            <w:r w:rsidRPr="00B14872">
              <w:rPr>
                <w:sz w:val="20"/>
                <w:szCs w:val="20"/>
              </w:rPr>
              <w:t>Participación del Grupo de Servicio al Ciudadano en las “Juntanzas, Festival para tejer lo público” viabilizadas por la UNP</w:t>
            </w:r>
            <w:r>
              <w:rPr>
                <w:sz w:val="20"/>
                <w:szCs w:val="20"/>
              </w:rPr>
              <w:t xml:space="preserve"> y la meta del producto por </w:t>
            </w:r>
            <w:r w:rsidRPr="00CF65AE">
              <w:rPr>
                <w:sz w:val="20"/>
                <w:szCs w:val="20"/>
              </w:rPr>
              <w:t>Porcentaje de participación en las “Juntanzas, Festival para tejer</w:t>
            </w:r>
            <w:r>
              <w:rPr>
                <w:sz w:val="20"/>
                <w:szCs w:val="20"/>
              </w:rPr>
              <w:t xml:space="preserve"> </w:t>
            </w:r>
            <w:r w:rsidRPr="00CF65AE">
              <w:rPr>
                <w:sz w:val="20"/>
                <w:szCs w:val="20"/>
              </w:rPr>
              <w:t>lo público”</w:t>
            </w:r>
            <w:r>
              <w:rPr>
                <w:sz w:val="20"/>
                <w:szCs w:val="20"/>
              </w:rPr>
              <w:t xml:space="preserve"> </w:t>
            </w:r>
            <w:r w:rsidRPr="00CF65AE">
              <w:rPr>
                <w:sz w:val="20"/>
                <w:szCs w:val="20"/>
              </w:rPr>
              <w:t>del Departamento Administrativo de la Función Pública viabilizadas  por  la  entidad</w:t>
            </w:r>
            <w:r>
              <w:rPr>
                <w:sz w:val="20"/>
                <w:szCs w:val="20"/>
              </w:rPr>
              <w:t>.</w:t>
            </w:r>
          </w:p>
          <w:p w14:paraId="6E6023BA" w14:textId="2469063F" w:rsidR="001C40ED" w:rsidRPr="008F5AC8" w:rsidRDefault="001C40ED" w:rsidP="00E8293A">
            <w:pPr>
              <w:widowControl/>
              <w:autoSpaceDE/>
              <w:autoSpaceDN/>
              <w:jc w:val="both"/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1C40ED" w:rsidRPr="008F5AC8" w14:paraId="306298A1" w14:textId="77777777" w:rsidTr="001C40ED">
        <w:trPr>
          <w:trHeight w:val="1035"/>
        </w:trPr>
        <w:tc>
          <w:tcPr>
            <w:tcW w:w="1523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9A104FD" w14:textId="77777777" w:rsidR="001C40ED" w:rsidRPr="008F5AC8" w:rsidRDefault="001C40ED" w:rsidP="00E8293A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47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493427" w14:textId="0565DAC6" w:rsidR="001C40ED" w:rsidRPr="008F5AC8" w:rsidRDefault="001C40ED" w:rsidP="00E8293A">
            <w:pPr>
              <w:widowControl/>
              <w:autoSpaceDE/>
              <w:autoSpaceDN/>
              <w:jc w:val="both"/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sz w:val="20"/>
                <w:szCs w:val="20"/>
              </w:rPr>
              <w:t xml:space="preserve">En el Subcomponente </w:t>
            </w:r>
            <w:r w:rsidRPr="002F62EE">
              <w:rPr>
                <w:sz w:val="20"/>
                <w:szCs w:val="20"/>
              </w:rPr>
              <w:t>4.Evaluación y</w:t>
            </w:r>
            <w:r>
              <w:rPr>
                <w:sz w:val="20"/>
                <w:szCs w:val="20"/>
              </w:rPr>
              <w:t xml:space="preserve"> </w:t>
            </w:r>
            <w:r w:rsidRPr="002F62EE">
              <w:rPr>
                <w:sz w:val="20"/>
                <w:szCs w:val="20"/>
              </w:rPr>
              <w:t>retroalimentación a la</w:t>
            </w:r>
            <w:r>
              <w:rPr>
                <w:sz w:val="20"/>
                <w:szCs w:val="20"/>
              </w:rPr>
              <w:t xml:space="preserve"> </w:t>
            </w:r>
            <w:r w:rsidRPr="002F62EE">
              <w:rPr>
                <w:sz w:val="20"/>
                <w:szCs w:val="20"/>
              </w:rPr>
              <w:t>gestión institucional</w:t>
            </w:r>
            <w:r>
              <w:rPr>
                <w:sz w:val="20"/>
                <w:szCs w:val="20"/>
              </w:rPr>
              <w:t xml:space="preserve">  actividad  4.1. </w:t>
            </w:r>
            <w:r w:rsidRPr="00E27541">
              <w:rPr>
                <w:sz w:val="20"/>
                <w:szCs w:val="20"/>
              </w:rPr>
              <w:t>Formular,  aplicar y publicar los resultados de la encuesta de evaluación sobre los ejercicios de rendición de cuentas</w:t>
            </w:r>
            <w:r>
              <w:rPr>
                <w:sz w:val="20"/>
                <w:szCs w:val="20"/>
              </w:rPr>
              <w:t xml:space="preserve"> se eliminó en responsable de la ejecución de la actividad el proceso de servicio al ciudadano toda vez que en el </w:t>
            </w:r>
            <w:r w:rsidRPr="006002EB">
              <w:rPr>
                <w:sz w:val="20"/>
                <w:szCs w:val="20"/>
              </w:rPr>
              <w:t xml:space="preserve"> marco de la</w:t>
            </w:r>
            <w:r>
              <w:rPr>
                <w:sz w:val="20"/>
                <w:szCs w:val="20"/>
              </w:rPr>
              <w:t>s</w:t>
            </w:r>
            <w:r w:rsidRPr="006002EB">
              <w:rPr>
                <w:sz w:val="20"/>
                <w:szCs w:val="20"/>
              </w:rPr>
              <w:t xml:space="preserve"> mesas técnicas de formulación </w:t>
            </w:r>
            <w:r>
              <w:rPr>
                <w:sz w:val="20"/>
                <w:szCs w:val="20"/>
              </w:rPr>
              <w:t xml:space="preserve">del Programa de Transparencia y Ética del Sector Público </w:t>
            </w:r>
            <w:r w:rsidRPr="006002EB">
              <w:rPr>
                <w:sz w:val="20"/>
                <w:szCs w:val="20"/>
              </w:rPr>
              <w:t xml:space="preserve">2023, </w:t>
            </w:r>
            <w:r>
              <w:rPr>
                <w:sz w:val="20"/>
                <w:szCs w:val="20"/>
              </w:rPr>
              <w:t>manifestaron que esta</w:t>
            </w:r>
            <w:r w:rsidRPr="006002EB">
              <w:rPr>
                <w:sz w:val="20"/>
                <w:szCs w:val="20"/>
              </w:rPr>
              <w:t xml:space="preserve"> activida</w:t>
            </w:r>
            <w:r>
              <w:rPr>
                <w:sz w:val="20"/>
                <w:szCs w:val="20"/>
              </w:rPr>
              <w:t xml:space="preserve">d es de competencia de la </w:t>
            </w:r>
            <w:r w:rsidRPr="006002EB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ficina </w:t>
            </w:r>
            <w:r w:rsidRPr="006002EB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sesora de </w:t>
            </w:r>
            <w:r w:rsidRPr="006002EB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laneación e </w:t>
            </w:r>
            <w:r w:rsidRPr="006002EB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nformación.</w:t>
            </w:r>
          </w:p>
        </w:tc>
      </w:tr>
    </w:tbl>
    <w:p w14:paraId="425E1297" w14:textId="77777777" w:rsidR="001C40ED" w:rsidRDefault="001C40ED" w:rsidP="005B6CC5">
      <w:pPr>
        <w:jc w:val="both"/>
        <w:rPr>
          <w:sz w:val="24"/>
          <w:szCs w:val="24"/>
        </w:rPr>
      </w:pPr>
    </w:p>
    <w:p w14:paraId="3C110917" w14:textId="77777777" w:rsidR="001C40ED" w:rsidRDefault="001C40ED" w:rsidP="005B6CC5">
      <w:pPr>
        <w:jc w:val="both"/>
        <w:rPr>
          <w:sz w:val="24"/>
          <w:szCs w:val="24"/>
        </w:rPr>
      </w:pPr>
    </w:p>
    <w:p w14:paraId="4FD6F6A1" w14:textId="77777777" w:rsidR="001C40ED" w:rsidRDefault="001C40ED" w:rsidP="005B6CC5">
      <w:pPr>
        <w:jc w:val="both"/>
        <w:rPr>
          <w:sz w:val="24"/>
          <w:szCs w:val="24"/>
        </w:rPr>
      </w:pPr>
    </w:p>
    <w:p w14:paraId="6117EB0D" w14:textId="77777777" w:rsidR="001C40ED" w:rsidRDefault="001C40ED" w:rsidP="005B6CC5">
      <w:pPr>
        <w:jc w:val="both"/>
        <w:rPr>
          <w:sz w:val="24"/>
          <w:szCs w:val="24"/>
        </w:rPr>
      </w:pPr>
    </w:p>
    <w:p w14:paraId="5B224435" w14:textId="77777777" w:rsidR="001C40ED" w:rsidRDefault="001C40ED" w:rsidP="005B6CC5">
      <w:pPr>
        <w:jc w:val="both"/>
        <w:rPr>
          <w:sz w:val="24"/>
          <w:szCs w:val="24"/>
        </w:rPr>
      </w:pPr>
    </w:p>
    <w:p w14:paraId="1FD576A2" w14:textId="77777777" w:rsidR="001C40ED" w:rsidRDefault="001C40ED" w:rsidP="005B6CC5">
      <w:pPr>
        <w:jc w:val="both"/>
        <w:rPr>
          <w:sz w:val="24"/>
          <w:szCs w:val="24"/>
        </w:rPr>
      </w:pPr>
    </w:p>
    <w:p w14:paraId="3F8F043A" w14:textId="77777777" w:rsidR="001C40ED" w:rsidRDefault="001C40ED" w:rsidP="005B6CC5">
      <w:pPr>
        <w:jc w:val="both"/>
        <w:rPr>
          <w:sz w:val="24"/>
          <w:szCs w:val="24"/>
        </w:rPr>
      </w:pPr>
    </w:p>
    <w:p w14:paraId="3DE758A8" w14:textId="77777777" w:rsidR="001C40ED" w:rsidRDefault="001C40ED" w:rsidP="005B6CC5">
      <w:pPr>
        <w:jc w:val="both"/>
        <w:rPr>
          <w:sz w:val="24"/>
          <w:szCs w:val="24"/>
        </w:rPr>
      </w:pPr>
    </w:p>
    <w:p w14:paraId="15D49AC2" w14:textId="77777777" w:rsidR="001C40ED" w:rsidRDefault="001C40ED" w:rsidP="005B6CC5">
      <w:pPr>
        <w:jc w:val="both"/>
        <w:rPr>
          <w:sz w:val="24"/>
          <w:szCs w:val="24"/>
        </w:rPr>
      </w:pPr>
    </w:p>
    <w:p w14:paraId="3EF53348" w14:textId="77777777" w:rsidR="00C6321F" w:rsidRDefault="00C6321F" w:rsidP="005B6CC5">
      <w:pPr>
        <w:jc w:val="both"/>
        <w:rPr>
          <w:sz w:val="24"/>
          <w:szCs w:val="24"/>
        </w:rPr>
      </w:pPr>
    </w:p>
    <w:p w14:paraId="2D392EC5" w14:textId="77777777" w:rsidR="001C40ED" w:rsidRDefault="001C40ED" w:rsidP="005B6CC5">
      <w:pPr>
        <w:jc w:val="both"/>
        <w:rPr>
          <w:sz w:val="24"/>
          <w:szCs w:val="24"/>
        </w:rPr>
      </w:pPr>
    </w:p>
    <w:p w14:paraId="08DFF000" w14:textId="77777777" w:rsidR="009230DC" w:rsidRDefault="009230DC">
      <w:pPr>
        <w:jc w:val="both"/>
        <w:rPr>
          <w:sz w:val="24"/>
        </w:rPr>
      </w:pPr>
    </w:p>
    <w:p w14:paraId="12558DD2" w14:textId="77777777" w:rsidR="00C84AD5" w:rsidRDefault="00C84AD5">
      <w:pPr>
        <w:jc w:val="both"/>
        <w:rPr>
          <w:sz w:val="24"/>
        </w:rPr>
      </w:pPr>
    </w:p>
    <w:p w14:paraId="4C3269FA" w14:textId="77777777" w:rsidR="00C84AD5" w:rsidRDefault="00C84AD5">
      <w:pPr>
        <w:jc w:val="both"/>
        <w:rPr>
          <w:sz w:val="24"/>
        </w:rPr>
      </w:pPr>
    </w:p>
    <w:p w14:paraId="54613D58" w14:textId="77777777" w:rsidR="00C84AD5" w:rsidRDefault="00C84AD5">
      <w:pPr>
        <w:jc w:val="both"/>
        <w:rPr>
          <w:sz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5"/>
        <w:gridCol w:w="6495"/>
      </w:tblGrid>
      <w:tr w:rsidR="008F5AC8" w:rsidRPr="008F5AC8" w14:paraId="5B1B560B" w14:textId="77777777" w:rsidTr="00D658A1">
        <w:trPr>
          <w:trHeight w:val="315"/>
        </w:trPr>
        <w:tc>
          <w:tcPr>
            <w:tcW w:w="1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38DD3"/>
            <w:vAlign w:val="bottom"/>
            <w:hideMark/>
          </w:tcPr>
          <w:p w14:paraId="058CD70D" w14:textId="77777777" w:rsidR="008F5AC8" w:rsidRPr="008F5AC8" w:rsidRDefault="008F5AC8" w:rsidP="008F5AC8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8F5AC8">
              <w:rPr>
                <w:rFonts w:eastAsia="Times New Roman" w:cs="Calibri"/>
                <w:b/>
                <w:bCs/>
                <w:sz w:val="20"/>
                <w:szCs w:val="20"/>
                <w:lang w:eastAsia="es-CO"/>
              </w:rPr>
              <w:t>Componente</w:t>
            </w:r>
          </w:p>
        </w:tc>
        <w:tc>
          <w:tcPr>
            <w:tcW w:w="3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3"/>
            <w:vAlign w:val="center"/>
            <w:hideMark/>
          </w:tcPr>
          <w:p w14:paraId="0722BF8E" w14:textId="77777777" w:rsidR="008F5AC8" w:rsidRPr="008F5AC8" w:rsidRDefault="008F5AC8" w:rsidP="008F5AC8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8F5AC8">
              <w:rPr>
                <w:rFonts w:eastAsia="Times New Roman" w:cs="Calibri"/>
                <w:b/>
                <w:bCs/>
                <w:sz w:val="20"/>
                <w:szCs w:val="20"/>
                <w:lang w:eastAsia="es-CO"/>
              </w:rPr>
              <w:t>Cambios</w:t>
            </w:r>
          </w:p>
        </w:tc>
      </w:tr>
      <w:tr w:rsidR="008F5AC8" w:rsidRPr="008F5AC8" w14:paraId="657D0C37" w14:textId="77777777" w:rsidTr="00D658A1">
        <w:trPr>
          <w:trHeight w:val="1545"/>
        </w:trPr>
        <w:tc>
          <w:tcPr>
            <w:tcW w:w="152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C0CB53" w14:textId="27701B56" w:rsidR="008F5AC8" w:rsidRPr="008F5AC8" w:rsidRDefault="008F5AC8" w:rsidP="008F5AC8">
            <w:pPr>
              <w:widowControl/>
              <w:autoSpaceDE/>
              <w:autoSpaceDN/>
              <w:jc w:val="both"/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</w:pPr>
            <w:r w:rsidRPr="008F5AC8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 xml:space="preserve"> 4.Mecanismos</w:t>
            </w:r>
            <w:r w:rsidR="00EC706D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8F5AC8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para mejorar la atención al ciudadano</w:t>
            </w:r>
          </w:p>
        </w:tc>
        <w:tc>
          <w:tcPr>
            <w:tcW w:w="3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18E37" w14:textId="77777777" w:rsidR="008F5AC8" w:rsidRDefault="008F5AC8" w:rsidP="008F5AC8">
            <w:pPr>
              <w:widowControl/>
              <w:autoSpaceDE/>
              <w:autoSpaceDN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8F5AC8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 xml:space="preserve">En el Subcomponente 5.Relacionamiento con el Ciudadano se </w:t>
            </w:r>
            <w:r w:rsidRPr="008F5AC8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modificó</w:t>
            </w:r>
            <w:r w:rsidRPr="008F5AC8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 xml:space="preserve"> la descripción de la actividad por Participar en las “Juntanzas, Festival para tejer lo público”en las cuales se identifique la necesidad de intervención por parte de la UNP, a fin de sensibilizar acerca de las competencias de la entidad en  marco de la ruta de protección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.</w:t>
            </w:r>
          </w:p>
          <w:p w14:paraId="1797F766" w14:textId="77777777" w:rsidR="00237F06" w:rsidRDefault="00237F06" w:rsidP="008F5AC8">
            <w:pPr>
              <w:widowControl/>
              <w:autoSpaceDE/>
              <w:autoSpaceDN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  <w:p w14:paraId="7944F522" w14:textId="177387A6" w:rsidR="00237F06" w:rsidRPr="008F5AC8" w:rsidRDefault="00237F06" w:rsidP="008F5AC8">
            <w:pPr>
              <w:widowControl/>
              <w:autoSpaceDE/>
              <w:autoSpaceDN/>
              <w:jc w:val="both"/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</w:pPr>
            <w:r w:rsidRPr="008F5AC8"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  <w:t>Así mismo se modificó el nombre</w:t>
            </w:r>
            <w:r w:rsidR="00827306"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  <w:t xml:space="preserve"> </w:t>
            </w:r>
            <w:r w:rsidRPr="008F5AC8"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  <w:t>del indicador por “Juntanzas, Festival para tejer lo público”</w:t>
            </w:r>
            <w:r w:rsidR="00473DDC"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  <w:t xml:space="preserve"> </w:t>
            </w:r>
            <w:r w:rsidRPr="008F5AC8"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  <w:t>con</w:t>
            </w:r>
            <w:r w:rsidR="00473DDC"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  <w:t xml:space="preserve"> </w:t>
            </w:r>
            <w:r w:rsidRPr="008F5AC8"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  <w:t>participación de la UNP documentadas y la meta del producto por  Participación en las “Juntanzas, Festival para tejer lo público” del DAFP</w:t>
            </w:r>
          </w:p>
        </w:tc>
      </w:tr>
      <w:tr w:rsidR="008F5AC8" w:rsidRPr="008F5AC8" w14:paraId="5C8C8E87" w14:textId="77777777" w:rsidTr="00D658A1">
        <w:trPr>
          <w:trHeight w:val="2310"/>
        </w:trPr>
        <w:tc>
          <w:tcPr>
            <w:tcW w:w="1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4DE27" w14:textId="36315D18" w:rsidR="008F5AC8" w:rsidRPr="008F5AC8" w:rsidRDefault="008F5AC8" w:rsidP="008F5AC8">
            <w:pPr>
              <w:widowControl/>
              <w:autoSpaceDE/>
              <w:autoSpaceDN/>
              <w:jc w:val="both"/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</w:pPr>
            <w:r w:rsidRPr="008F5AC8"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  <w:t>5. Mecanismos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  <w:t xml:space="preserve"> </w:t>
            </w:r>
            <w:r w:rsidRPr="008F5AC8"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  <w:t>para la Transparencia y Acceso a la Información</w:t>
            </w:r>
          </w:p>
        </w:tc>
        <w:tc>
          <w:tcPr>
            <w:tcW w:w="3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B377D" w14:textId="25213FD2" w:rsidR="008F5AC8" w:rsidRPr="008F5AC8" w:rsidRDefault="008F5AC8" w:rsidP="008F5AC8">
            <w:pPr>
              <w:widowControl/>
              <w:autoSpaceDE/>
              <w:autoSpaceDN/>
              <w:jc w:val="both"/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</w:pPr>
            <w:r w:rsidRPr="008F5AC8">
              <w:rPr>
                <w:rFonts w:eastAsia="Times New Roman" w:cs="Calibri"/>
                <w:color w:val="000000"/>
                <w:sz w:val="20"/>
                <w:szCs w:val="20"/>
                <w:lang w:val="es-CO" w:eastAsia="es-CO"/>
              </w:rPr>
              <w:t>En el Subcomponente 4. Criterio diferencial de accesibilidad se eliminó la actividad 4.1 Gestionar la traducción a lengua nativa étnica de la información atinente a requisitos para solicitud de protección, toda vez  que en el marco de la mesa técnica de formulación del Programa de Transparencia y  Ética del Sector Público vigencia 2023 ,el proceso de Servicio al Ciudadano decidió no programar para la presente vigencia esta actividad debido  a  que fue cumplida durante las  vigencias  2020 al 2022.</w:t>
            </w:r>
          </w:p>
        </w:tc>
      </w:tr>
    </w:tbl>
    <w:p w14:paraId="0E1D1868" w14:textId="71892BB1" w:rsidR="009230DC" w:rsidRDefault="009230DC">
      <w:pPr>
        <w:jc w:val="both"/>
        <w:rPr>
          <w:sz w:val="24"/>
        </w:rPr>
        <w:sectPr w:rsidR="009230D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2000" w:right="1420" w:bottom="280" w:left="1460" w:header="618" w:footer="720" w:gutter="0"/>
          <w:pgNumType w:start="1"/>
          <w:cols w:space="720"/>
        </w:sectPr>
      </w:pPr>
    </w:p>
    <w:p w14:paraId="569C683B" w14:textId="77777777" w:rsidR="00A43078" w:rsidRDefault="00A43078" w:rsidP="009230DC">
      <w:pPr>
        <w:pStyle w:val="Sinespaciado"/>
      </w:pPr>
    </w:p>
    <w:sectPr w:rsidR="00A43078" w:rsidSect="00DD7E81">
      <w:pgSz w:w="12240" w:h="15840"/>
      <w:pgMar w:top="2000" w:right="1420" w:bottom="280" w:left="1460" w:header="6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180AE" w14:textId="77777777" w:rsidR="0031731E" w:rsidRDefault="0031731E">
      <w:r>
        <w:separator/>
      </w:r>
    </w:p>
  </w:endnote>
  <w:endnote w:type="continuationSeparator" w:id="0">
    <w:p w14:paraId="7E238BF3" w14:textId="77777777" w:rsidR="0031731E" w:rsidRDefault="0031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EBE96" w14:textId="77777777" w:rsidR="00246828" w:rsidRDefault="0024682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5C43B" w14:textId="77777777" w:rsidR="00246828" w:rsidRDefault="0024682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3E35" w14:textId="77777777" w:rsidR="00246828" w:rsidRDefault="002468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F59CB" w14:textId="77777777" w:rsidR="0031731E" w:rsidRDefault="0031731E">
      <w:r>
        <w:separator/>
      </w:r>
    </w:p>
  </w:footnote>
  <w:footnote w:type="continuationSeparator" w:id="0">
    <w:p w14:paraId="2954DCB0" w14:textId="77777777" w:rsidR="0031731E" w:rsidRDefault="00317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BDB83" w14:textId="77777777" w:rsidR="00246828" w:rsidRDefault="0024682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1F1C2" w14:textId="77777777" w:rsidR="00865861" w:rsidRDefault="00D44CA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251657216" behindDoc="1" locked="0" layoutInCell="1" allowOverlap="1" wp14:anchorId="21F94B80" wp14:editId="73D2247F">
          <wp:simplePos x="0" y="0"/>
          <wp:positionH relativeFrom="page">
            <wp:posOffset>630936</wp:posOffset>
          </wp:positionH>
          <wp:positionV relativeFrom="page">
            <wp:posOffset>392344</wp:posOffset>
          </wp:positionV>
          <wp:extent cx="882557" cy="87647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2557" cy="8764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O" w:eastAsia="es-CO"/>
      </w:rPr>
      <w:drawing>
        <wp:anchor distT="0" distB="0" distL="0" distR="0" simplePos="0" relativeHeight="251659264" behindDoc="1" locked="0" layoutInCell="1" allowOverlap="1" wp14:anchorId="5FCF026A" wp14:editId="239C741A">
          <wp:simplePos x="0" y="0"/>
          <wp:positionH relativeFrom="page">
            <wp:posOffset>5916167</wp:posOffset>
          </wp:positionH>
          <wp:positionV relativeFrom="page">
            <wp:posOffset>413683</wp:posOffset>
          </wp:positionV>
          <wp:extent cx="842080" cy="866476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42080" cy="8664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303AA" w14:textId="77777777" w:rsidR="00246828" w:rsidRDefault="002468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33968"/>
    <w:multiLevelType w:val="hybridMultilevel"/>
    <w:tmpl w:val="2862AA48"/>
    <w:lvl w:ilvl="0" w:tplc="8080298C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4" w:hanging="360"/>
      </w:pPr>
    </w:lvl>
    <w:lvl w:ilvl="2" w:tplc="240A001B" w:tentative="1">
      <w:start w:val="1"/>
      <w:numFmt w:val="lowerRoman"/>
      <w:lvlText w:val="%3."/>
      <w:lvlJc w:val="right"/>
      <w:pPr>
        <w:ind w:left="1804" w:hanging="180"/>
      </w:pPr>
    </w:lvl>
    <w:lvl w:ilvl="3" w:tplc="240A000F" w:tentative="1">
      <w:start w:val="1"/>
      <w:numFmt w:val="decimal"/>
      <w:lvlText w:val="%4."/>
      <w:lvlJc w:val="left"/>
      <w:pPr>
        <w:ind w:left="2524" w:hanging="360"/>
      </w:pPr>
    </w:lvl>
    <w:lvl w:ilvl="4" w:tplc="240A0019" w:tentative="1">
      <w:start w:val="1"/>
      <w:numFmt w:val="lowerLetter"/>
      <w:lvlText w:val="%5."/>
      <w:lvlJc w:val="left"/>
      <w:pPr>
        <w:ind w:left="3244" w:hanging="360"/>
      </w:pPr>
    </w:lvl>
    <w:lvl w:ilvl="5" w:tplc="240A001B" w:tentative="1">
      <w:start w:val="1"/>
      <w:numFmt w:val="lowerRoman"/>
      <w:lvlText w:val="%6."/>
      <w:lvlJc w:val="right"/>
      <w:pPr>
        <w:ind w:left="3964" w:hanging="180"/>
      </w:pPr>
    </w:lvl>
    <w:lvl w:ilvl="6" w:tplc="240A000F" w:tentative="1">
      <w:start w:val="1"/>
      <w:numFmt w:val="decimal"/>
      <w:lvlText w:val="%7."/>
      <w:lvlJc w:val="left"/>
      <w:pPr>
        <w:ind w:left="4684" w:hanging="360"/>
      </w:pPr>
    </w:lvl>
    <w:lvl w:ilvl="7" w:tplc="240A0019" w:tentative="1">
      <w:start w:val="1"/>
      <w:numFmt w:val="lowerLetter"/>
      <w:lvlText w:val="%8."/>
      <w:lvlJc w:val="left"/>
      <w:pPr>
        <w:ind w:left="5404" w:hanging="360"/>
      </w:pPr>
    </w:lvl>
    <w:lvl w:ilvl="8" w:tplc="240A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" w15:restartNumberingAfterBreak="0">
    <w:nsid w:val="38112EB6"/>
    <w:multiLevelType w:val="multilevel"/>
    <w:tmpl w:val="8C60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C752AF"/>
    <w:multiLevelType w:val="hybridMultilevel"/>
    <w:tmpl w:val="96D278AA"/>
    <w:lvl w:ilvl="0" w:tplc="804C62AA">
      <w:start w:val="3"/>
      <w:numFmt w:val="decimal"/>
      <w:lvlText w:val="%1."/>
      <w:lvlJc w:val="left"/>
      <w:pPr>
        <w:ind w:left="4" w:hanging="283"/>
        <w:jc w:val="left"/>
      </w:pPr>
      <w:rPr>
        <w:rFonts w:ascii="Arial Narrow" w:eastAsia="Arial Narrow" w:hAnsi="Arial Narrow" w:cs="Arial Narrow" w:hint="default"/>
        <w:w w:val="100"/>
        <w:sz w:val="24"/>
        <w:szCs w:val="24"/>
        <w:lang w:val="es-ES" w:eastAsia="en-US" w:bidi="ar-SA"/>
      </w:rPr>
    </w:lvl>
    <w:lvl w:ilvl="1" w:tplc="70B8AA60">
      <w:numFmt w:val="bullet"/>
      <w:lvlText w:val="•"/>
      <w:lvlJc w:val="left"/>
      <w:pPr>
        <w:ind w:left="622" w:hanging="283"/>
      </w:pPr>
      <w:rPr>
        <w:rFonts w:hint="default"/>
        <w:lang w:val="es-ES" w:eastAsia="en-US" w:bidi="ar-SA"/>
      </w:rPr>
    </w:lvl>
    <w:lvl w:ilvl="2" w:tplc="BCCC63FC">
      <w:numFmt w:val="bullet"/>
      <w:lvlText w:val="•"/>
      <w:lvlJc w:val="left"/>
      <w:pPr>
        <w:ind w:left="1245" w:hanging="283"/>
      </w:pPr>
      <w:rPr>
        <w:rFonts w:hint="default"/>
        <w:lang w:val="es-ES" w:eastAsia="en-US" w:bidi="ar-SA"/>
      </w:rPr>
    </w:lvl>
    <w:lvl w:ilvl="3" w:tplc="50FEA77C">
      <w:numFmt w:val="bullet"/>
      <w:lvlText w:val="•"/>
      <w:lvlJc w:val="left"/>
      <w:pPr>
        <w:ind w:left="1868" w:hanging="283"/>
      </w:pPr>
      <w:rPr>
        <w:rFonts w:hint="default"/>
        <w:lang w:val="es-ES" w:eastAsia="en-US" w:bidi="ar-SA"/>
      </w:rPr>
    </w:lvl>
    <w:lvl w:ilvl="4" w:tplc="D15A282E">
      <w:numFmt w:val="bullet"/>
      <w:lvlText w:val="•"/>
      <w:lvlJc w:val="left"/>
      <w:pPr>
        <w:ind w:left="2490" w:hanging="283"/>
      </w:pPr>
      <w:rPr>
        <w:rFonts w:hint="default"/>
        <w:lang w:val="es-ES" w:eastAsia="en-US" w:bidi="ar-SA"/>
      </w:rPr>
    </w:lvl>
    <w:lvl w:ilvl="5" w:tplc="C1882566">
      <w:numFmt w:val="bullet"/>
      <w:lvlText w:val="•"/>
      <w:lvlJc w:val="left"/>
      <w:pPr>
        <w:ind w:left="3113" w:hanging="283"/>
      </w:pPr>
      <w:rPr>
        <w:rFonts w:hint="default"/>
        <w:lang w:val="es-ES" w:eastAsia="en-US" w:bidi="ar-SA"/>
      </w:rPr>
    </w:lvl>
    <w:lvl w:ilvl="6" w:tplc="09D6ABBE">
      <w:numFmt w:val="bullet"/>
      <w:lvlText w:val="•"/>
      <w:lvlJc w:val="left"/>
      <w:pPr>
        <w:ind w:left="3736" w:hanging="283"/>
      </w:pPr>
      <w:rPr>
        <w:rFonts w:hint="default"/>
        <w:lang w:val="es-ES" w:eastAsia="en-US" w:bidi="ar-SA"/>
      </w:rPr>
    </w:lvl>
    <w:lvl w:ilvl="7" w:tplc="29E244F0">
      <w:numFmt w:val="bullet"/>
      <w:lvlText w:val="•"/>
      <w:lvlJc w:val="left"/>
      <w:pPr>
        <w:ind w:left="4358" w:hanging="283"/>
      </w:pPr>
      <w:rPr>
        <w:rFonts w:hint="default"/>
        <w:lang w:val="es-ES" w:eastAsia="en-US" w:bidi="ar-SA"/>
      </w:rPr>
    </w:lvl>
    <w:lvl w:ilvl="8" w:tplc="0548F7F6">
      <w:numFmt w:val="bullet"/>
      <w:lvlText w:val="•"/>
      <w:lvlJc w:val="left"/>
      <w:pPr>
        <w:ind w:left="4981" w:hanging="283"/>
      </w:pPr>
      <w:rPr>
        <w:rFonts w:hint="default"/>
        <w:lang w:val="es-ES" w:eastAsia="en-US" w:bidi="ar-SA"/>
      </w:rPr>
    </w:lvl>
  </w:abstractNum>
  <w:abstractNum w:abstractNumId="3" w15:restartNumberingAfterBreak="0">
    <w:nsid w:val="7BB63AD7"/>
    <w:multiLevelType w:val="hybridMultilevel"/>
    <w:tmpl w:val="DF7886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739363">
    <w:abstractNumId w:val="2"/>
  </w:num>
  <w:num w:numId="2" w16cid:durableId="1592467174">
    <w:abstractNumId w:val="0"/>
  </w:num>
  <w:num w:numId="3" w16cid:durableId="934288556">
    <w:abstractNumId w:val="3"/>
  </w:num>
  <w:num w:numId="4" w16cid:durableId="525145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61"/>
    <w:rsid w:val="00006343"/>
    <w:rsid w:val="00006CA2"/>
    <w:rsid w:val="00013060"/>
    <w:rsid w:val="000240CE"/>
    <w:rsid w:val="000356A4"/>
    <w:rsid w:val="00037099"/>
    <w:rsid w:val="000402C3"/>
    <w:rsid w:val="000406AD"/>
    <w:rsid w:val="00040C72"/>
    <w:rsid w:val="00064D94"/>
    <w:rsid w:val="00070EC1"/>
    <w:rsid w:val="00081A16"/>
    <w:rsid w:val="000842E7"/>
    <w:rsid w:val="000968CD"/>
    <w:rsid w:val="00096D3C"/>
    <w:rsid w:val="0009739E"/>
    <w:rsid w:val="00097B4F"/>
    <w:rsid w:val="000A50FA"/>
    <w:rsid w:val="000A5D93"/>
    <w:rsid w:val="000B2350"/>
    <w:rsid w:val="000C22C3"/>
    <w:rsid w:val="000C6924"/>
    <w:rsid w:val="000C775D"/>
    <w:rsid w:val="000D0871"/>
    <w:rsid w:val="000D5936"/>
    <w:rsid w:val="000D6BA3"/>
    <w:rsid w:val="000D7571"/>
    <w:rsid w:val="000E6007"/>
    <w:rsid w:val="000F62F3"/>
    <w:rsid w:val="000F7C12"/>
    <w:rsid w:val="0012080E"/>
    <w:rsid w:val="00120A7C"/>
    <w:rsid w:val="00123859"/>
    <w:rsid w:val="00126E60"/>
    <w:rsid w:val="0013065A"/>
    <w:rsid w:val="0013083A"/>
    <w:rsid w:val="00130C28"/>
    <w:rsid w:val="00134108"/>
    <w:rsid w:val="00151830"/>
    <w:rsid w:val="001648C5"/>
    <w:rsid w:val="0017295C"/>
    <w:rsid w:val="001B1DD0"/>
    <w:rsid w:val="001B5291"/>
    <w:rsid w:val="001B5889"/>
    <w:rsid w:val="001C40ED"/>
    <w:rsid w:val="001C5834"/>
    <w:rsid w:val="001D5906"/>
    <w:rsid w:val="00206818"/>
    <w:rsid w:val="00215B6F"/>
    <w:rsid w:val="00222258"/>
    <w:rsid w:val="002354F5"/>
    <w:rsid w:val="00237F06"/>
    <w:rsid w:val="002418D5"/>
    <w:rsid w:val="002453EA"/>
    <w:rsid w:val="00246828"/>
    <w:rsid w:val="00246C99"/>
    <w:rsid w:val="00250C2B"/>
    <w:rsid w:val="00254302"/>
    <w:rsid w:val="00254840"/>
    <w:rsid w:val="00255E84"/>
    <w:rsid w:val="00261BBA"/>
    <w:rsid w:val="00264106"/>
    <w:rsid w:val="00270DCE"/>
    <w:rsid w:val="00280C10"/>
    <w:rsid w:val="002819DD"/>
    <w:rsid w:val="00283DA9"/>
    <w:rsid w:val="002854E5"/>
    <w:rsid w:val="00286673"/>
    <w:rsid w:val="00292F8D"/>
    <w:rsid w:val="00296FAE"/>
    <w:rsid w:val="002A5349"/>
    <w:rsid w:val="002B6676"/>
    <w:rsid w:val="002B7A4D"/>
    <w:rsid w:val="002C27E5"/>
    <w:rsid w:val="002D46C2"/>
    <w:rsid w:val="002D4F4A"/>
    <w:rsid w:val="002E746E"/>
    <w:rsid w:val="002F2FF2"/>
    <w:rsid w:val="002F62EE"/>
    <w:rsid w:val="0031731E"/>
    <w:rsid w:val="00331E73"/>
    <w:rsid w:val="00356CE9"/>
    <w:rsid w:val="003574E1"/>
    <w:rsid w:val="0038133F"/>
    <w:rsid w:val="00384256"/>
    <w:rsid w:val="003A4D28"/>
    <w:rsid w:val="003C6325"/>
    <w:rsid w:val="003C7AD8"/>
    <w:rsid w:val="003D1196"/>
    <w:rsid w:val="003D6B8E"/>
    <w:rsid w:val="003E360B"/>
    <w:rsid w:val="003F7B4B"/>
    <w:rsid w:val="00401A66"/>
    <w:rsid w:val="00403FC1"/>
    <w:rsid w:val="004055B6"/>
    <w:rsid w:val="004212A4"/>
    <w:rsid w:val="00421D4F"/>
    <w:rsid w:val="00423742"/>
    <w:rsid w:val="004333A0"/>
    <w:rsid w:val="00434A94"/>
    <w:rsid w:val="0043530B"/>
    <w:rsid w:val="00435B38"/>
    <w:rsid w:val="00437CC6"/>
    <w:rsid w:val="00464B60"/>
    <w:rsid w:val="00467379"/>
    <w:rsid w:val="00470F26"/>
    <w:rsid w:val="0047166F"/>
    <w:rsid w:val="00473DDC"/>
    <w:rsid w:val="00476B68"/>
    <w:rsid w:val="00483F8D"/>
    <w:rsid w:val="00491112"/>
    <w:rsid w:val="004977A6"/>
    <w:rsid w:val="004A49CB"/>
    <w:rsid w:val="004B0CDA"/>
    <w:rsid w:val="004D1047"/>
    <w:rsid w:val="004D775D"/>
    <w:rsid w:val="0050242C"/>
    <w:rsid w:val="00504A2C"/>
    <w:rsid w:val="0051404E"/>
    <w:rsid w:val="005211F9"/>
    <w:rsid w:val="00526672"/>
    <w:rsid w:val="00547179"/>
    <w:rsid w:val="00551C17"/>
    <w:rsid w:val="005610F6"/>
    <w:rsid w:val="00561822"/>
    <w:rsid w:val="00562E52"/>
    <w:rsid w:val="00565685"/>
    <w:rsid w:val="005676E6"/>
    <w:rsid w:val="00570971"/>
    <w:rsid w:val="00577451"/>
    <w:rsid w:val="00581077"/>
    <w:rsid w:val="00595985"/>
    <w:rsid w:val="0059659D"/>
    <w:rsid w:val="005A0A76"/>
    <w:rsid w:val="005A6223"/>
    <w:rsid w:val="005B6CC5"/>
    <w:rsid w:val="005D5A5E"/>
    <w:rsid w:val="005E0742"/>
    <w:rsid w:val="005F1ED6"/>
    <w:rsid w:val="005F35A4"/>
    <w:rsid w:val="005F45C6"/>
    <w:rsid w:val="006002EB"/>
    <w:rsid w:val="006205AE"/>
    <w:rsid w:val="00630A64"/>
    <w:rsid w:val="00633193"/>
    <w:rsid w:val="00637F1A"/>
    <w:rsid w:val="006551E6"/>
    <w:rsid w:val="00662B3B"/>
    <w:rsid w:val="0066351D"/>
    <w:rsid w:val="00664DF7"/>
    <w:rsid w:val="00666F4E"/>
    <w:rsid w:val="00670E33"/>
    <w:rsid w:val="006814C2"/>
    <w:rsid w:val="006824CB"/>
    <w:rsid w:val="006A5FD3"/>
    <w:rsid w:val="006A78FF"/>
    <w:rsid w:val="006B4BA8"/>
    <w:rsid w:val="006B5231"/>
    <w:rsid w:val="006E05FA"/>
    <w:rsid w:val="007170F1"/>
    <w:rsid w:val="0072035A"/>
    <w:rsid w:val="00724433"/>
    <w:rsid w:val="00736AA5"/>
    <w:rsid w:val="00740988"/>
    <w:rsid w:val="0074708C"/>
    <w:rsid w:val="00751D16"/>
    <w:rsid w:val="00756C75"/>
    <w:rsid w:val="007613CA"/>
    <w:rsid w:val="00766542"/>
    <w:rsid w:val="007749FA"/>
    <w:rsid w:val="00792547"/>
    <w:rsid w:val="007953ED"/>
    <w:rsid w:val="007A48EA"/>
    <w:rsid w:val="007A6F08"/>
    <w:rsid w:val="007D0024"/>
    <w:rsid w:val="007D0737"/>
    <w:rsid w:val="007D5F92"/>
    <w:rsid w:val="007F60EE"/>
    <w:rsid w:val="00807750"/>
    <w:rsid w:val="008162FB"/>
    <w:rsid w:val="008220AD"/>
    <w:rsid w:val="008251C5"/>
    <w:rsid w:val="00827306"/>
    <w:rsid w:val="00834048"/>
    <w:rsid w:val="008425EC"/>
    <w:rsid w:val="0085542A"/>
    <w:rsid w:val="00865861"/>
    <w:rsid w:val="00865E7E"/>
    <w:rsid w:val="00877F76"/>
    <w:rsid w:val="00883C2D"/>
    <w:rsid w:val="0089464F"/>
    <w:rsid w:val="008A2E0E"/>
    <w:rsid w:val="008A3459"/>
    <w:rsid w:val="008B40DF"/>
    <w:rsid w:val="008E2F2F"/>
    <w:rsid w:val="008E5D2E"/>
    <w:rsid w:val="008F1D07"/>
    <w:rsid w:val="008F5AC8"/>
    <w:rsid w:val="0090374A"/>
    <w:rsid w:val="009054E5"/>
    <w:rsid w:val="0092237C"/>
    <w:rsid w:val="009230DC"/>
    <w:rsid w:val="00933D4D"/>
    <w:rsid w:val="00934D3F"/>
    <w:rsid w:val="0094727B"/>
    <w:rsid w:val="00954EA6"/>
    <w:rsid w:val="00965899"/>
    <w:rsid w:val="00966D53"/>
    <w:rsid w:val="00971479"/>
    <w:rsid w:val="00971661"/>
    <w:rsid w:val="0097433D"/>
    <w:rsid w:val="00980956"/>
    <w:rsid w:val="00983417"/>
    <w:rsid w:val="0098522D"/>
    <w:rsid w:val="00991C6B"/>
    <w:rsid w:val="00992C40"/>
    <w:rsid w:val="009A3651"/>
    <w:rsid w:val="009A6D89"/>
    <w:rsid w:val="009B3FC6"/>
    <w:rsid w:val="009B62B4"/>
    <w:rsid w:val="009C0B2B"/>
    <w:rsid w:val="009D005E"/>
    <w:rsid w:val="009F0A7B"/>
    <w:rsid w:val="009F1F49"/>
    <w:rsid w:val="00A004F1"/>
    <w:rsid w:val="00A13038"/>
    <w:rsid w:val="00A144AB"/>
    <w:rsid w:val="00A16CF3"/>
    <w:rsid w:val="00A21E18"/>
    <w:rsid w:val="00A300DE"/>
    <w:rsid w:val="00A36151"/>
    <w:rsid w:val="00A37EB3"/>
    <w:rsid w:val="00A43078"/>
    <w:rsid w:val="00A529DB"/>
    <w:rsid w:val="00A66A0E"/>
    <w:rsid w:val="00A67641"/>
    <w:rsid w:val="00A70915"/>
    <w:rsid w:val="00A715B6"/>
    <w:rsid w:val="00A82164"/>
    <w:rsid w:val="00A82857"/>
    <w:rsid w:val="00AA09D9"/>
    <w:rsid w:val="00AB0F27"/>
    <w:rsid w:val="00AB393D"/>
    <w:rsid w:val="00AB4C9E"/>
    <w:rsid w:val="00AB715C"/>
    <w:rsid w:val="00AE6156"/>
    <w:rsid w:val="00AF353A"/>
    <w:rsid w:val="00AF4A85"/>
    <w:rsid w:val="00B022E7"/>
    <w:rsid w:val="00B10F59"/>
    <w:rsid w:val="00B14872"/>
    <w:rsid w:val="00B368D9"/>
    <w:rsid w:val="00B514E4"/>
    <w:rsid w:val="00B60C4F"/>
    <w:rsid w:val="00B62F6B"/>
    <w:rsid w:val="00B75B76"/>
    <w:rsid w:val="00B80765"/>
    <w:rsid w:val="00B81D75"/>
    <w:rsid w:val="00B902CD"/>
    <w:rsid w:val="00B95565"/>
    <w:rsid w:val="00B972FF"/>
    <w:rsid w:val="00BA19FD"/>
    <w:rsid w:val="00BB32FA"/>
    <w:rsid w:val="00BB5F45"/>
    <w:rsid w:val="00BB703E"/>
    <w:rsid w:val="00BD3FEC"/>
    <w:rsid w:val="00BE4787"/>
    <w:rsid w:val="00BF6975"/>
    <w:rsid w:val="00C00349"/>
    <w:rsid w:val="00C00C98"/>
    <w:rsid w:val="00C0736B"/>
    <w:rsid w:val="00C15018"/>
    <w:rsid w:val="00C21D44"/>
    <w:rsid w:val="00C42B69"/>
    <w:rsid w:val="00C4579E"/>
    <w:rsid w:val="00C568B2"/>
    <w:rsid w:val="00C6321F"/>
    <w:rsid w:val="00C829CF"/>
    <w:rsid w:val="00C84AD5"/>
    <w:rsid w:val="00C85681"/>
    <w:rsid w:val="00CA4668"/>
    <w:rsid w:val="00CB08DD"/>
    <w:rsid w:val="00CC2003"/>
    <w:rsid w:val="00CE160D"/>
    <w:rsid w:val="00CE1684"/>
    <w:rsid w:val="00CE171B"/>
    <w:rsid w:val="00CF65AE"/>
    <w:rsid w:val="00D021BB"/>
    <w:rsid w:val="00D02600"/>
    <w:rsid w:val="00D1041A"/>
    <w:rsid w:val="00D2531C"/>
    <w:rsid w:val="00D30C8E"/>
    <w:rsid w:val="00D355FB"/>
    <w:rsid w:val="00D405E4"/>
    <w:rsid w:val="00D44CA0"/>
    <w:rsid w:val="00D658A1"/>
    <w:rsid w:val="00D72C2A"/>
    <w:rsid w:val="00D8154E"/>
    <w:rsid w:val="00D85352"/>
    <w:rsid w:val="00D93D47"/>
    <w:rsid w:val="00D946BE"/>
    <w:rsid w:val="00D95D1F"/>
    <w:rsid w:val="00D979FE"/>
    <w:rsid w:val="00DB6DEC"/>
    <w:rsid w:val="00DD1B47"/>
    <w:rsid w:val="00DD7E81"/>
    <w:rsid w:val="00DE3A88"/>
    <w:rsid w:val="00E13EFC"/>
    <w:rsid w:val="00E216C7"/>
    <w:rsid w:val="00E24F3A"/>
    <w:rsid w:val="00E27541"/>
    <w:rsid w:val="00E303AE"/>
    <w:rsid w:val="00E32045"/>
    <w:rsid w:val="00E4121F"/>
    <w:rsid w:val="00E4476A"/>
    <w:rsid w:val="00E570BE"/>
    <w:rsid w:val="00E6068E"/>
    <w:rsid w:val="00E62BC2"/>
    <w:rsid w:val="00E63F76"/>
    <w:rsid w:val="00EA0FC7"/>
    <w:rsid w:val="00EA424C"/>
    <w:rsid w:val="00EC2FF4"/>
    <w:rsid w:val="00EC706D"/>
    <w:rsid w:val="00ED1E34"/>
    <w:rsid w:val="00EE0C92"/>
    <w:rsid w:val="00EE5A19"/>
    <w:rsid w:val="00F0561E"/>
    <w:rsid w:val="00F062C8"/>
    <w:rsid w:val="00F229D2"/>
    <w:rsid w:val="00F43DFB"/>
    <w:rsid w:val="00F44733"/>
    <w:rsid w:val="00F4556A"/>
    <w:rsid w:val="00F47EA1"/>
    <w:rsid w:val="00F518FE"/>
    <w:rsid w:val="00F53D0F"/>
    <w:rsid w:val="00F7093C"/>
    <w:rsid w:val="00F70CB4"/>
    <w:rsid w:val="00F82C85"/>
    <w:rsid w:val="00F85ACA"/>
    <w:rsid w:val="00F866D3"/>
    <w:rsid w:val="00F91441"/>
    <w:rsid w:val="00F92A67"/>
    <w:rsid w:val="00F96CD2"/>
    <w:rsid w:val="00FA59C2"/>
    <w:rsid w:val="00FB0164"/>
    <w:rsid w:val="00FB5888"/>
    <w:rsid w:val="00FC7497"/>
    <w:rsid w:val="00FD75A8"/>
    <w:rsid w:val="00FF7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3C508"/>
  <w15:docId w15:val="{06594E8E-E6B0-4FFD-A875-E51F5492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E81"/>
    <w:rPr>
      <w:rFonts w:ascii="Arial Narrow" w:eastAsia="Arial Narrow" w:hAnsi="Arial Narrow" w:cs="Arial Narrow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7E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DD7E81"/>
    <w:rPr>
      <w:sz w:val="24"/>
      <w:szCs w:val="24"/>
    </w:rPr>
  </w:style>
  <w:style w:type="paragraph" w:styleId="Ttulo">
    <w:name w:val="Title"/>
    <w:basedOn w:val="Normal"/>
    <w:uiPriority w:val="10"/>
    <w:qFormat/>
    <w:rsid w:val="00DD7E81"/>
    <w:pPr>
      <w:spacing w:before="98"/>
      <w:ind w:left="335" w:right="113"/>
      <w:jc w:val="both"/>
    </w:pPr>
    <w:rPr>
      <w:sz w:val="40"/>
      <w:szCs w:val="40"/>
    </w:rPr>
  </w:style>
  <w:style w:type="paragraph" w:styleId="Prrafodelista">
    <w:name w:val="List Paragraph"/>
    <w:basedOn w:val="Normal"/>
    <w:uiPriority w:val="1"/>
    <w:qFormat/>
    <w:rsid w:val="00DD7E81"/>
  </w:style>
  <w:style w:type="paragraph" w:customStyle="1" w:styleId="TableParagraph">
    <w:name w:val="Table Paragraph"/>
    <w:basedOn w:val="Normal"/>
    <w:uiPriority w:val="1"/>
    <w:qFormat/>
    <w:rsid w:val="00DD7E81"/>
  </w:style>
  <w:style w:type="paragraph" w:styleId="Encabezado">
    <w:name w:val="header"/>
    <w:basedOn w:val="Normal"/>
    <w:link w:val="EncabezadoCar"/>
    <w:uiPriority w:val="99"/>
    <w:unhideWhenUsed/>
    <w:rsid w:val="002468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6828"/>
    <w:rPr>
      <w:rFonts w:ascii="Arial Narrow" w:eastAsia="Arial Narrow" w:hAnsi="Arial Narrow" w:cs="Arial Narrow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468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6828"/>
    <w:rPr>
      <w:rFonts w:ascii="Arial Narrow" w:eastAsia="Arial Narrow" w:hAnsi="Arial Narrow" w:cs="Arial Narrow"/>
      <w:lang w:val="es-ES"/>
    </w:rPr>
  </w:style>
  <w:style w:type="paragraph" w:customStyle="1" w:styleId="xmsonormal">
    <w:name w:val="x_msonormal"/>
    <w:basedOn w:val="Normal"/>
    <w:rsid w:val="00384256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val="es-CO" w:eastAsia="es-CO"/>
    </w:rPr>
  </w:style>
  <w:style w:type="character" w:customStyle="1" w:styleId="contentpasted0">
    <w:name w:val="contentpasted0"/>
    <w:basedOn w:val="Fuentedeprrafopredeter"/>
    <w:rsid w:val="00401A66"/>
  </w:style>
  <w:style w:type="paragraph" w:styleId="Sinespaciado">
    <w:name w:val="No Spacing"/>
    <w:uiPriority w:val="1"/>
    <w:qFormat/>
    <w:rsid w:val="009230DC"/>
    <w:rPr>
      <w:rFonts w:ascii="Arial Narrow" w:eastAsia="Arial Narrow" w:hAnsi="Arial Narrow" w:cs="Arial Narrow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67C223884F7B44B88549A99E329B2B" ma:contentTypeVersion="15" ma:contentTypeDescription="Crear nuevo documento." ma:contentTypeScope="" ma:versionID="39af33a7d89ef00b0e3aee5f9e6c6757">
  <xsd:schema xmlns:xsd="http://www.w3.org/2001/XMLSchema" xmlns:xs="http://www.w3.org/2001/XMLSchema" xmlns:p="http://schemas.microsoft.com/office/2006/metadata/properties" xmlns:ns2="e8e7ab80-d2a8-49f5-8a82-354810a752ed" xmlns:ns3="ec4c8162-46bd-4e62-a6c6-6b2872cb94d4" targetNamespace="http://schemas.microsoft.com/office/2006/metadata/properties" ma:root="true" ma:fieldsID="3d4a33ea6b10fdaf4cf8c5739b3f82c0" ns2:_="" ns3:_="">
    <xsd:import namespace="e8e7ab80-d2a8-49f5-8a82-354810a752ed"/>
    <xsd:import namespace="ec4c8162-46bd-4e62-a6c6-6b2872cb94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7ab80-d2a8-49f5-8a82-354810a752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339104f-2caa-4128-b03f-5379fd5b9003}" ma:internalName="TaxCatchAll" ma:showField="CatchAllData" ma:web="e8e7ab80-d2a8-49f5-8a82-354810a752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c8162-46bd-4e62-a6c6-6b2872cb9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a7d64430-ea87-422f-8994-68a2babe3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e7ab80-d2a8-49f5-8a82-354810a752ed" xsi:nil="true"/>
    <lcf76f155ced4ddcb4097134ff3c332f xmlns="ec4c8162-46bd-4e62-a6c6-6b2872cb94d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0814BF-4B1E-4868-8F86-1D3EC8C34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e7ab80-d2a8-49f5-8a82-354810a752ed"/>
    <ds:schemaRef ds:uri="ec4c8162-46bd-4e62-a6c6-6b2872cb9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75AE7D-E3DA-42E0-9101-3DAD0EABB97A}">
  <ds:schemaRefs>
    <ds:schemaRef ds:uri="http://schemas.microsoft.com/office/2006/metadata/properties"/>
    <ds:schemaRef ds:uri="http://schemas.microsoft.com/office/infopath/2007/PartnerControls"/>
    <ds:schemaRef ds:uri="e8e7ab80-d2a8-49f5-8a82-354810a752ed"/>
    <ds:schemaRef ds:uri="ec4c8162-46bd-4e62-a6c6-6b2872cb94d4"/>
  </ds:schemaRefs>
</ds:datastoreItem>
</file>

<file path=customXml/itemProps3.xml><?xml version="1.0" encoding="utf-8"?>
<ds:datastoreItem xmlns:ds="http://schemas.openxmlformats.org/officeDocument/2006/customXml" ds:itemID="{42D25279-D7F5-4D2A-B64A-8ECC8A8A7F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506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Nubia Stella Angel Casallas</cp:lastModifiedBy>
  <cp:revision>2</cp:revision>
  <cp:lastPrinted>2022-09-16T14:35:00Z</cp:lastPrinted>
  <dcterms:created xsi:type="dcterms:W3CDTF">2023-06-14T21:43:00Z</dcterms:created>
  <dcterms:modified xsi:type="dcterms:W3CDTF">2023-06-14T21:43:00Z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2021-04-13T00:00:00Z</vt:filetime>
  </property>
  <property fmtid="{D5CDD505-2E9C-101B-9397-08002B2CF9AE}" pid="5" name="ContentTypeId">
    <vt:lpwstr>0x0101000067C223884F7B44B88549A99E329B2B</vt:lpwstr>
  </property>
</Properties>
</file>